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A5354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color w:val="000000"/>
          <w:lang w:val="pt-BR"/>
        </w:rPr>
      </w:pPr>
      <w:r w:rsidRPr="0006079F">
        <w:rPr>
          <w:rFonts w:ascii="Arial" w:eastAsia="Arial" w:hAnsi="Arial" w:cs="Arial"/>
          <w:b/>
          <w:color w:val="000000"/>
          <w:lang w:val="pt-BR"/>
        </w:rPr>
        <w:t xml:space="preserve">AVALIAÇÃO DO CONSUMO ALIMENTAR E COMPOSIÇÃO CORPORAL ENTRE IDOSOS PRATICANTES E NÃO PRATICANTES DE EXERCÍCIO FÍSICO </w:t>
      </w:r>
    </w:p>
    <w:p w14:paraId="7D8B7F99" w14:textId="77777777" w:rsidR="00CD1DD1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b/>
          <w:color w:val="212121"/>
        </w:rPr>
      </w:pPr>
      <w:r>
        <w:rPr>
          <w:rFonts w:ascii="Arial" w:eastAsia="Arial" w:hAnsi="Arial" w:cs="Arial"/>
          <w:b/>
          <w:color w:val="212121"/>
        </w:rPr>
        <w:t>EVALUATION OF FOOD CONSUMPTION AND BODY COMPOSITION BETWEEN PREGNANT AND NON-PRACTICAL PERSONS OF PHYSICAL EXERCISE</w:t>
      </w:r>
    </w:p>
    <w:p w14:paraId="6BAB18B9" w14:textId="77777777" w:rsidR="00CD1DD1" w:rsidRDefault="00CD1D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</w:rPr>
      </w:pPr>
    </w:p>
    <w:p w14:paraId="1DE0730F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ind w:left="4248" w:right="-794"/>
        <w:jc w:val="both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06079F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Giselly Maria Da Costa Pimentel¹; </w:t>
      </w:r>
    </w:p>
    <w:p w14:paraId="232F16C8" w14:textId="60A1C264" w:rsidR="00CD1DD1" w:rsidRDefault="00DA361C" w:rsidP="0006079F">
      <w:pPr>
        <w:pBdr>
          <w:top w:val="nil"/>
          <w:left w:val="nil"/>
          <w:bottom w:val="nil"/>
          <w:right w:val="nil"/>
          <w:between w:val="nil"/>
        </w:pBdr>
        <w:ind w:left="4248" w:right="-79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Sanserai Cavalcanti Da Silva¹;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089C900" w14:textId="7138EB28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ind w:left="4248" w:right="-794"/>
        <w:jc w:val="both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06079F">
        <w:rPr>
          <w:rFonts w:ascii="Arial" w:eastAsia="Arial" w:hAnsi="Arial" w:cs="Arial"/>
          <w:color w:val="000000"/>
          <w:sz w:val="20"/>
          <w:szCs w:val="20"/>
          <w:lang w:val="pt-BR"/>
        </w:rPr>
        <w:t>Faculdade Estácio do Recife¹,</w:t>
      </w:r>
      <w:bookmarkStart w:id="0" w:name="_GoBack"/>
      <w:bookmarkEnd w:id="0"/>
      <w:r w:rsidRPr="0006079F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R</w:t>
      </w:r>
      <w:r w:rsidRPr="0006079F">
        <w:rPr>
          <w:rFonts w:ascii="Arial" w:eastAsia="Arial" w:hAnsi="Arial" w:cs="Arial"/>
          <w:color w:val="000000"/>
          <w:sz w:val="20"/>
          <w:szCs w:val="20"/>
          <w:lang w:val="pt-BR"/>
        </w:rPr>
        <w:t>ecife, Pernambuco, Brasil.</w:t>
      </w:r>
    </w:p>
    <w:p w14:paraId="20F0F6BE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ind w:left="4248" w:right="-794"/>
        <w:jc w:val="both"/>
        <w:rPr>
          <w:rFonts w:ascii="Arial" w:eastAsia="Arial" w:hAnsi="Arial" w:cs="Arial"/>
          <w:b/>
          <w:color w:val="000000"/>
          <w:sz w:val="20"/>
          <w:szCs w:val="20"/>
          <w:lang w:val="pt-BR"/>
        </w:rPr>
      </w:pPr>
      <w:r w:rsidRPr="0006079F">
        <w:rPr>
          <w:rFonts w:ascii="Arial" w:eastAsia="Arial" w:hAnsi="Arial" w:cs="Arial"/>
          <w:b/>
          <w:color w:val="000000"/>
          <w:sz w:val="20"/>
          <w:szCs w:val="20"/>
          <w:lang w:val="pt-BR"/>
        </w:rPr>
        <w:t xml:space="preserve">Endereço para correspondência: </w:t>
      </w:r>
    </w:p>
    <w:p w14:paraId="5736A685" w14:textId="50747FD2" w:rsidR="00CD1DD1" w:rsidRDefault="00DA361C">
      <w:pPr>
        <w:pBdr>
          <w:top w:val="nil"/>
          <w:left w:val="nil"/>
          <w:bottom w:val="nil"/>
          <w:right w:val="nil"/>
          <w:between w:val="nil"/>
        </w:pBdr>
        <w:ind w:left="4248" w:right="-79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079F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Giselly Maria da Costa Pimentel: Rua </w:t>
      </w:r>
      <w:r w:rsidR="0006079F" w:rsidRPr="0006079F">
        <w:rPr>
          <w:rFonts w:ascii="Arial" w:eastAsia="Arial" w:hAnsi="Arial" w:cs="Arial"/>
          <w:color w:val="000000"/>
          <w:sz w:val="20"/>
          <w:szCs w:val="20"/>
          <w:lang w:val="pt-BR"/>
        </w:rPr>
        <w:t>Deoclécio Coutinho</w:t>
      </w:r>
      <w:r w:rsidRPr="0006079F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de</w:t>
      </w:r>
      <w:r w:rsidRPr="0006079F">
        <w:rPr>
          <w:rFonts w:ascii="Arial" w:eastAsia="Arial" w:hAnsi="Arial" w:cs="Arial"/>
          <w:b/>
          <w:color w:val="000000"/>
          <w:sz w:val="20"/>
          <w:szCs w:val="20"/>
          <w:lang w:val="pt-BR"/>
        </w:rPr>
        <w:t xml:space="preserve"> </w:t>
      </w:r>
      <w:r w:rsidRPr="0006079F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Araújo, n° 107, São José, Carpina, PE.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CEP: 55815410. Email: </w:t>
      </w:r>
      <w:hyperlink r:id="rId5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gisellycosta_@hotmail.com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; </w:t>
      </w: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sanseraicavalcanti@hotmail.com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69F31CD" w14:textId="77777777" w:rsidR="00CD1DD1" w:rsidRDefault="00CD1DD1">
      <w:pPr>
        <w:pBdr>
          <w:top w:val="nil"/>
          <w:left w:val="nil"/>
          <w:bottom w:val="nil"/>
          <w:right w:val="nil"/>
          <w:between w:val="nil"/>
        </w:pBdr>
        <w:ind w:left="4248" w:right="-79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4467E7C" w14:textId="77777777" w:rsidR="00CD1DD1" w:rsidRDefault="00CD1DD1">
      <w:pPr>
        <w:pBdr>
          <w:top w:val="nil"/>
          <w:left w:val="nil"/>
          <w:bottom w:val="nil"/>
          <w:right w:val="nil"/>
          <w:between w:val="nil"/>
        </w:pBdr>
        <w:ind w:left="4248" w:right="-794"/>
        <w:jc w:val="both"/>
        <w:rPr>
          <w:rFonts w:ascii="Arial" w:eastAsia="Arial" w:hAnsi="Arial" w:cs="Arial"/>
          <w:b/>
          <w:color w:val="000000"/>
          <w:sz w:val="20"/>
          <w:szCs w:val="20"/>
        </w:rPr>
        <w:sectPr w:rsidR="00CD1DD1">
          <w:pgSz w:w="11900" w:h="16840"/>
          <w:pgMar w:top="1418" w:right="1418" w:bottom="1418" w:left="1418" w:header="709" w:footer="709" w:gutter="0"/>
          <w:pgNumType w:start="1"/>
          <w:cols w:space="720"/>
        </w:sectPr>
      </w:pPr>
    </w:p>
    <w:p w14:paraId="1F6F1BF0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b/>
          <w:color w:val="000000"/>
          <w:lang w:val="pt-BR"/>
        </w:rPr>
        <w:t>Resumo</w:t>
      </w:r>
    </w:p>
    <w:p w14:paraId="048F8535" w14:textId="25469546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i/>
          <w:color w:val="000000"/>
          <w:lang w:val="pt-BR"/>
        </w:rPr>
        <w:t>Objetivo:</w:t>
      </w:r>
      <w:r w:rsidRPr="0006079F">
        <w:rPr>
          <w:rFonts w:ascii="Arial" w:eastAsia="Arial" w:hAnsi="Arial" w:cs="Arial"/>
          <w:color w:val="000000"/>
          <w:lang w:val="pt-BR"/>
        </w:rPr>
        <w:t xml:space="preserve"> Avaliar o consumo alimentar e a composição corporal de idosos praticantes e não praticantes de exercício físico</w:t>
      </w:r>
      <w:r w:rsidRPr="0006079F">
        <w:rPr>
          <w:rFonts w:ascii="Arial" w:eastAsia="Arial" w:hAnsi="Arial" w:cs="Arial"/>
          <w:i/>
          <w:color w:val="000000"/>
          <w:lang w:val="pt-BR"/>
        </w:rPr>
        <w:t>. Método</w:t>
      </w:r>
      <w:r w:rsidRPr="0006079F">
        <w:rPr>
          <w:rFonts w:ascii="Arial" w:eastAsia="Arial" w:hAnsi="Arial" w:cs="Arial"/>
          <w:color w:val="000000"/>
          <w:lang w:val="pt-BR"/>
        </w:rPr>
        <w:t>: estudo descritivo, de corte transversal. Para a constituição da amostra foram entrevistados 29 idosos com idade igual ou superior a 60</w:t>
      </w:r>
      <w:r w:rsidRPr="0006079F">
        <w:rPr>
          <w:rFonts w:ascii="Arial" w:eastAsia="Arial" w:hAnsi="Arial" w:cs="Arial"/>
          <w:color w:val="000000"/>
          <w:lang w:val="pt-BR"/>
        </w:rPr>
        <w:t xml:space="preserve"> anos, sendo 15 praticantes de atividade física e 14 não praticantes. Aplicando para ambos os grupos dois questionários, o primeiro para a obtenção das variáveis e o segundo para analisar o consumo alimentar. </w:t>
      </w:r>
      <w:r w:rsidRPr="0006079F">
        <w:rPr>
          <w:rFonts w:ascii="Arial" w:eastAsia="Arial" w:hAnsi="Arial" w:cs="Arial"/>
          <w:i/>
          <w:color w:val="000000"/>
          <w:lang w:val="pt-BR"/>
        </w:rPr>
        <w:t>Resultados:</w:t>
      </w:r>
      <w:r w:rsidRPr="0006079F">
        <w:rPr>
          <w:rFonts w:ascii="Arial" w:eastAsia="Arial" w:hAnsi="Arial" w:cs="Arial"/>
          <w:color w:val="000000"/>
          <w:lang w:val="pt-BR"/>
        </w:rPr>
        <w:t xml:space="preserve"> O IMC médio do G1 apresentou-se men</w:t>
      </w:r>
      <w:r w:rsidRPr="0006079F">
        <w:rPr>
          <w:rFonts w:ascii="Arial" w:eastAsia="Arial" w:hAnsi="Arial" w:cs="Arial"/>
          <w:color w:val="000000"/>
          <w:lang w:val="pt-BR"/>
        </w:rPr>
        <w:t>or quando comprado ao G2 (p=0,03) e o mesmo foi observado na média da CC (p=0,03). A CP não apresentou diferença estatística</w:t>
      </w:r>
      <w:r w:rsidRPr="0006079F">
        <w:rPr>
          <w:rFonts w:ascii="Arial" w:eastAsia="Arial" w:hAnsi="Arial" w:cs="Arial"/>
          <w:color w:val="000000"/>
          <w:lang w:val="pt-BR"/>
        </w:rPr>
        <w:t xml:space="preserve"> entre os grupos. As características</w:t>
      </w:r>
      <w:r w:rsidRPr="0006079F">
        <w:rPr>
          <w:rFonts w:ascii="Arial" w:eastAsia="Arial" w:hAnsi="Arial" w:cs="Arial"/>
          <w:color w:val="000000"/>
          <w:lang w:val="pt-BR"/>
        </w:rPr>
        <w:t xml:space="preserve"> do consumo alimentar se constituíram</w:t>
      </w:r>
      <w:r w:rsidRPr="0006079F">
        <w:rPr>
          <w:rFonts w:ascii="Arial" w:eastAsia="Arial" w:hAnsi="Arial" w:cs="Arial"/>
          <w:color w:val="000000"/>
          <w:lang w:val="pt-BR"/>
        </w:rPr>
        <w:t xml:space="preserve"> em ingestão de salada maior que três dias na semana em amb</w:t>
      </w:r>
      <w:r w:rsidRPr="0006079F">
        <w:rPr>
          <w:rFonts w:ascii="Arial" w:eastAsia="Arial" w:hAnsi="Arial" w:cs="Arial"/>
          <w:color w:val="000000"/>
          <w:lang w:val="pt-BR"/>
        </w:rPr>
        <w:t xml:space="preserve">os os grupos, a ingestão inferior a 3 dias por semana de refrigerantes e sucos artificiais totalizou um total de 100% no G1 e 21,4% no grupo 2. O consumo de doces apresentou percentual semanal inferior a 3 dias no G1 de 60% e 50% no G2. </w:t>
      </w:r>
      <w:r w:rsidRPr="0006079F">
        <w:rPr>
          <w:rFonts w:ascii="Arial" w:eastAsia="Arial" w:hAnsi="Arial" w:cs="Arial"/>
          <w:i/>
          <w:color w:val="000000"/>
          <w:lang w:val="pt-BR"/>
        </w:rPr>
        <w:t xml:space="preserve">Conclusão: </w:t>
      </w:r>
      <w:r w:rsidRPr="0006079F">
        <w:rPr>
          <w:rFonts w:ascii="Arial" w:eastAsia="Arial" w:hAnsi="Arial" w:cs="Arial"/>
          <w:color w:val="000000"/>
          <w:lang w:val="pt-BR"/>
        </w:rPr>
        <w:t>A relaçã</w:t>
      </w:r>
      <w:r w:rsidRPr="0006079F">
        <w:rPr>
          <w:rFonts w:ascii="Arial" w:eastAsia="Arial" w:hAnsi="Arial" w:cs="Arial"/>
          <w:color w:val="000000"/>
          <w:lang w:val="pt-BR"/>
        </w:rPr>
        <w:t xml:space="preserve">o entre o exercício físico ou a inatividade associada a alimentação pode ocasionar ao indivíduo alterações na composição corporal, podendo atuar, positiva ou negativamente, nas modificações </w:t>
      </w:r>
      <w:r w:rsidRPr="0006079F">
        <w:rPr>
          <w:rFonts w:ascii="Arial" w:eastAsia="Arial" w:hAnsi="Arial" w:cs="Arial"/>
          <w:color w:val="000000"/>
          <w:lang w:val="pt-BR"/>
        </w:rPr>
        <w:t xml:space="preserve">presentes no processo de envelhecimento. </w:t>
      </w:r>
    </w:p>
    <w:p w14:paraId="10F5EC84" w14:textId="77777777" w:rsidR="00CD1DD1" w:rsidRDefault="00DA361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color w:val="000000"/>
        </w:rPr>
      </w:pPr>
      <w:r w:rsidRPr="0006079F">
        <w:rPr>
          <w:rFonts w:ascii="Arial" w:eastAsia="Arial" w:hAnsi="Arial" w:cs="Arial"/>
          <w:b/>
          <w:color w:val="000000"/>
          <w:lang w:val="pt-BR"/>
        </w:rPr>
        <w:t>Palavras-chave</w:t>
      </w:r>
      <w:r w:rsidRPr="0006079F">
        <w:rPr>
          <w:rFonts w:ascii="Arial" w:eastAsia="Arial" w:hAnsi="Arial" w:cs="Arial"/>
          <w:color w:val="000000"/>
          <w:lang w:val="pt-BR"/>
        </w:rPr>
        <w:t xml:space="preserve">: Composição Corporal. Idoso. </w:t>
      </w:r>
      <w:r>
        <w:rPr>
          <w:rFonts w:ascii="Arial" w:eastAsia="Arial" w:hAnsi="Arial" w:cs="Arial"/>
          <w:color w:val="000000"/>
        </w:rPr>
        <w:t>Consumo Alimentar</w:t>
      </w:r>
    </w:p>
    <w:p w14:paraId="457F4883" w14:textId="77777777" w:rsidR="00CD1DD1" w:rsidRDefault="00DA361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Abstract</w:t>
      </w:r>
    </w:p>
    <w:p w14:paraId="3F0DAB26" w14:textId="77777777" w:rsidR="00CD1DD1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eastAsia="Arial" w:hAnsi="Arial" w:cs="Arial"/>
          <w:color w:val="212121"/>
        </w:rPr>
      </w:pPr>
      <w:bookmarkStart w:id="1" w:name="_gjdgxs" w:colFirst="0" w:colLast="0"/>
      <w:bookmarkEnd w:id="1"/>
      <w:r>
        <w:rPr>
          <w:rFonts w:ascii="Arial" w:eastAsia="Arial" w:hAnsi="Arial" w:cs="Arial"/>
          <w:i/>
          <w:color w:val="212121"/>
        </w:rPr>
        <w:t>Objective</w:t>
      </w:r>
      <w:r>
        <w:rPr>
          <w:rFonts w:ascii="Arial" w:eastAsia="Arial" w:hAnsi="Arial" w:cs="Arial"/>
          <w:color w:val="212121"/>
        </w:rPr>
        <w:t>: To evaluate dietary intake and body composition of practicing and non-exercising elderly</w:t>
      </w:r>
      <w:r>
        <w:rPr>
          <w:rFonts w:ascii="Arial" w:eastAsia="Arial" w:hAnsi="Arial" w:cs="Arial"/>
          <w:i/>
          <w:color w:val="212121"/>
        </w:rPr>
        <w:t>. Method</w:t>
      </w:r>
      <w:r>
        <w:rPr>
          <w:rFonts w:ascii="Arial" w:eastAsia="Arial" w:hAnsi="Arial" w:cs="Arial"/>
          <w:color w:val="212121"/>
        </w:rPr>
        <w:t>: descriptive, cross-sectional study. For the constitution of the sample, we i</w:t>
      </w:r>
      <w:r>
        <w:rPr>
          <w:rFonts w:ascii="Arial" w:eastAsia="Arial" w:hAnsi="Arial" w:cs="Arial"/>
          <w:color w:val="212121"/>
        </w:rPr>
        <w:t xml:space="preserve">nterviewed 29 elderly people aged 60 or over, of whom 15 were physical activity practitioners and 14 were non-practitioners. Applying to both groups two questionnaires, the first one to obtain the variables and the second to analyze the food consumption. </w:t>
      </w:r>
      <w:r>
        <w:rPr>
          <w:rFonts w:ascii="Arial" w:eastAsia="Arial" w:hAnsi="Arial" w:cs="Arial"/>
          <w:i/>
          <w:color w:val="212121"/>
        </w:rPr>
        <w:t>R</w:t>
      </w:r>
      <w:r>
        <w:rPr>
          <w:rFonts w:ascii="Arial" w:eastAsia="Arial" w:hAnsi="Arial" w:cs="Arial"/>
          <w:i/>
          <w:color w:val="212121"/>
        </w:rPr>
        <w:t>esults:</w:t>
      </w:r>
      <w:r>
        <w:rPr>
          <w:rFonts w:ascii="Arial" w:eastAsia="Arial" w:hAnsi="Arial" w:cs="Arial"/>
          <w:color w:val="212121"/>
        </w:rPr>
        <w:t xml:space="preserve"> The mean BMI of G1 was lower when purchased at G2 (p = 0.03) and the same was observed in the mean of the CC (p = 0.03). CP had no statistical difference between the groups. The food consumption characteristics consisted of saline intake greater th</w:t>
      </w:r>
      <w:r>
        <w:rPr>
          <w:rFonts w:ascii="Arial" w:eastAsia="Arial" w:hAnsi="Arial" w:cs="Arial"/>
          <w:color w:val="212121"/>
        </w:rPr>
        <w:t>an three days a week in both groups; the intake of less than 3 days per week of soft drinks and artificial juices totaled 100% in G1 and 21.4% in the group 2. The consumption of sweets had a weekly percentage of less than 3 days in G1 of 60% and 50% in G2.</w:t>
      </w:r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i/>
          <w:color w:val="212121"/>
        </w:rPr>
        <w:t>Conclusion:</w:t>
      </w:r>
      <w:r>
        <w:rPr>
          <w:rFonts w:ascii="Arial" w:eastAsia="Arial" w:hAnsi="Arial" w:cs="Arial"/>
          <w:color w:val="212121"/>
        </w:rPr>
        <w:t xml:space="preserve"> The relationship between physical activity or inactivity associated with eating can cause the individual to alter body composition, </w:t>
      </w:r>
      <w:r>
        <w:rPr>
          <w:rFonts w:ascii="Arial" w:eastAsia="Arial" w:hAnsi="Arial" w:cs="Arial"/>
          <w:color w:val="212121"/>
        </w:rPr>
        <w:lastRenderedPageBreak/>
        <w:t>and may act, positively or negatively, on the changes present in the aging process.</w:t>
      </w:r>
    </w:p>
    <w:p w14:paraId="0A6B9751" w14:textId="77777777" w:rsidR="00CD1DD1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eastAsia="Arial" w:hAnsi="Arial" w:cs="Arial"/>
          <w:color w:val="212121"/>
        </w:rPr>
      </w:pPr>
    </w:p>
    <w:p w14:paraId="5C98AEFA" w14:textId="77777777" w:rsidR="00CD1DD1" w:rsidRPr="0006079F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color w:val="212121"/>
          <w:lang w:val="pt-BR"/>
        </w:rPr>
      </w:pPr>
      <w:r>
        <w:rPr>
          <w:rFonts w:ascii="Arial" w:eastAsia="Arial" w:hAnsi="Arial" w:cs="Arial"/>
          <w:b/>
          <w:color w:val="212121"/>
        </w:rPr>
        <w:t xml:space="preserve">Key words: </w:t>
      </w:r>
      <w:r>
        <w:rPr>
          <w:rFonts w:ascii="Arial" w:eastAsia="Arial" w:hAnsi="Arial" w:cs="Arial"/>
          <w:color w:val="212121"/>
        </w:rPr>
        <w:t xml:space="preserve">Body Composition. Elderly. </w:t>
      </w:r>
      <w:r w:rsidRPr="0006079F">
        <w:rPr>
          <w:rFonts w:ascii="Arial" w:eastAsia="Arial" w:hAnsi="Arial" w:cs="Arial"/>
          <w:color w:val="212121"/>
          <w:lang w:val="pt-BR"/>
        </w:rPr>
        <w:t>Food Consumption.</w:t>
      </w:r>
    </w:p>
    <w:p w14:paraId="687DA1A2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color w:val="212121"/>
          <w:lang w:val="pt-BR"/>
        </w:rPr>
      </w:pPr>
    </w:p>
    <w:p w14:paraId="36AEA483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color w:val="212121"/>
          <w:lang w:val="pt-BR"/>
        </w:rPr>
      </w:pPr>
    </w:p>
    <w:p w14:paraId="64E9F534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color w:val="212121"/>
          <w:lang w:val="pt-BR"/>
        </w:rPr>
      </w:pPr>
    </w:p>
    <w:p w14:paraId="7E70ADE5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color w:val="212121"/>
          <w:lang w:val="pt-BR"/>
        </w:rPr>
      </w:pPr>
    </w:p>
    <w:p w14:paraId="43CC1A82" w14:textId="77777777" w:rsidR="00CD1DD1" w:rsidRPr="0006079F" w:rsidRDefault="00DA361C">
      <w:pPr>
        <w:ind w:right="-425"/>
        <w:jc w:val="both"/>
        <w:rPr>
          <w:rFonts w:ascii="Arial" w:eastAsia="Arial" w:hAnsi="Arial" w:cs="Arial"/>
          <w:b/>
          <w:lang w:val="pt-BR"/>
        </w:rPr>
      </w:pPr>
      <w:r w:rsidRPr="0006079F">
        <w:rPr>
          <w:rFonts w:ascii="Arial" w:eastAsia="Arial" w:hAnsi="Arial" w:cs="Arial"/>
          <w:b/>
          <w:lang w:val="pt-BR"/>
        </w:rPr>
        <w:t>INTRODUÇÃO</w:t>
      </w:r>
    </w:p>
    <w:p w14:paraId="0821D1DC" w14:textId="77777777" w:rsidR="00CD1DD1" w:rsidRPr="0006079F" w:rsidRDefault="00CD1DD1">
      <w:pPr>
        <w:spacing w:after="200"/>
        <w:ind w:right="-425"/>
        <w:jc w:val="both"/>
        <w:rPr>
          <w:rFonts w:ascii="Arial" w:eastAsia="Arial" w:hAnsi="Arial" w:cs="Arial"/>
          <w:b/>
          <w:lang w:val="pt-BR"/>
        </w:rPr>
      </w:pPr>
    </w:p>
    <w:p w14:paraId="147C963A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</w:tabs>
        <w:spacing w:before="100" w:after="1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A Organização Mundial de Saúde define que indivíduos com idade cronológica superior a 60 anos são considerados idosos nos países em desenvolvimento. Essa população encontra-se crescendo em ritmo mais acelerado perante as demais faixas etárias e </w:t>
      </w:r>
      <w:r w:rsidRPr="0006079F">
        <w:rPr>
          <w:rFonts w:ascii="Arial" w:eastAsia="Arial" w:hAnsi="Arial" w:cs="Arial"/>
          <w:color w:val="000000"/>
          <w:lang w:val="pt-BR"/>
        </w:rPr>
        <w:t>esse crescimento é decorrente da diminuição na taxa de fertilidade e aumento na longevidade nos últimos decénios (WHO,2002, 2005; FERNANDES; MEZZOMO, 2017). </w:t>
      </w:r>
    </w:p>
    <w:p w14:paraId="0A9BF67B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</w:tabs>
        <w:spacing w:after="1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O processo de envelhecimento é caracterizado por múltiplas transformações fisiológicas </w:t>
      </w:r>
      <w:r w:rsidRPr="0006079F">
        <w:rPr>
          <w:rFonts w:ascii="Arial" w:eastAsia="Arial" w:hAnsi="Arial" w:cs="Arial"/>
          <w:color w:val="000000"/>
          <w:lang w:val="pt-BR"/>
        </w:rPr>
        <w:t>especificas que interferem de modo individual em todos os seres vivos. Dentre as principais alterações físicas e psicossociais consideradas comuns nesta fase, evidencia-se uma redistribuição acentuada da composição corporal com perda progressiva de massa m</w:t>
      </w:r>
      <w:r w:rsidRPr="0006079F">
        <w:rPr>
          <w:rFonts w:ascii="Arial" w:eastAsia="Arial" w:hAnsi="Arial" w:cs="Arial"/>
          <w:color w:val="000000"/>
          <w:lang w:val="pt-BR"/>
        </w:rPr>
        <w:t xml:space="preserve">agra, aumento da adiposidade e seu acúmulo na </w:t>
      </w:r>
      <w:r w:rsidRPr="0006079F">
        <w:rPr>
          <w:rFonts w:ascii="Arial" w:eastAsia="Arial" w:hAnsi="Arial" w:cs="Arial"/>
          <w:color w:val="000000"/>
          <w:lang w:val="pt-BR"/>
        </w:rPr>
        <w:t xml:space="preserve">região abdominal, diminuição da percepção sensorial, redução da sensação à sede e maior disposição para o desenvolvimento de doenças crônicas não transmissíveis (PREVIATO </w:t>
      </w:r>
      <w:r w:rsidRPr="0006079F">
        <w:rPr>
          <w:rFonts w:ascii="Arial" w:eastAsia="Arial" w:hAnsi="Arial" w:cs="Arial"/>
          <w:i/>
          <w:color w:val="000000"/>
          <w:lang w:val="pt-BR"/>
        </w:rPr>
        <w:t>et al.</w:t>
      </w:r>
      <w:r w:rsidRPr="0006079F">
        <w:rPr>
          <w:rFonts w:ascii="Arial" w:eastAsia="Arial" w:hAnsi="Arial" w:cs="Arial"/>
          <w:color w:val="000000"/>
          <w:lang w:val="pt-BR"/>
        </w:rPr>
        <w:t xml:space="preserve"> 2014; PEREIRA et al. 2015; VALEN</w:t>
      </w:r>
      <w:r w:rsidRPr="0006079F">
        <w:rPr>
          <w:rFonts w:ascii="Arial" w:eastAsia="Arial" w:hAnsi="Arial" w:cs="Arial"/>
          <w:color w:val="000000"/>
          <w:lang w:val="pt-BR"/>
        </w:rPr>
        <w:t xml:space="preserve">TIM; CARRAPEIRO; GURGEL, 2016; CHAVES </w:t>
      </w:r>
      <w:r w:rsidRPr="0006079F">
        <w:rPr>
          <w:rFonts w:ascii="Arial" w:eastAsia="Arial" w:hAnsi="Arial" w:cs="Arial"/>
          <w:i/>
          <w:color w:val="000000"/>
          <w:lang w:val="pt-BR"/>
        </w:rPr>
        <w:t>et al</w:t>
      </w:r>
      <w:r w:rsidRPr="0006079F">
        <w:rPr>
          <w:rFonts w:ascii="Arial" w:eastAsia="Arial" w:hAnsi="Arial" w:cs="Arial"/>
          <w:color w:val="000000"/>
          <w:lang w:val="pt-BR"/>
        </w:rPr>
        <w:t xml:space="preserve">. 2017).  </w:t>
      </w:r>
    </w:p>
    <w:p w14:paraId="1C4B8422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1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Diante dos diversos aspectos da senilidade que influenciam no padrão de vida saudável, a atividade física, a alimentação e o grau de independência estão entre os principais, interferindo na q</w:t>
      </w:r>
      <w:r w:rsidRPr="0006079F">
        <w:rPr>
          <w:rFonts w:ascii="Arial" w:eastAsia="Arial" w:hAnsi="Arial" w:cs="Arial"/>
          <w:color w:val="000000"/>
          <w:lang w:val="pt-BR"/>
        </w:rPr>
        <w:t xml:space="preserve">ualidade de vida, capacidade funcional e saúde (PEREIRA </w:t>
      </w:r>
      <w:r w:rsidRPr="0006079F">
        <w:rPr>
          <w:rFonts w:ascii="Arial" w:eastAsia="Arial" w:hAnsi="Arial" w:cs="Arial"/>
          <w:i/>
          <w:color w:val="000000"/>
          <w:lang w:val="pt-BR"/>
        </w:rPr>
        <w:t>et al.</w:t>
      </w:r>
      <w:r w:rsidRPr="0006079F">
        <w:rPr>
          <w:rFonts w:ascii="Arial" w:eastAsia="Arial" w:hAnsi="Arial" w:cs="Arial"/>
          <w:color w:val="000000"/>
          <w:lang w:val="pt-BR"/>
        </w:rPr>
        <w:t xml:space="preserve"> 2015; FURAZO JUNIOR </w:t>
      </w:r>
      <w:r w:rsidRPr="0006079F">
        <w:rPr>
          <w:rFonts w:ascii="Arial" w:eastAsia="Arial" w:hAnsi="Arial" w:cs="Arial"/>
          <w:i/>
          <w:color w:val="000000"/>
          <w:lang w:val="pt-BR"/>
        </w:rPr>
        <w:t>et al.</w:t>
      </w:r>
      <w:r w:rsidRPr="0006079F">
        <w:rPr>
          <w:rFonts w:ascii="Arial" w:eastAsia="Arial" w:hAnsi="Arial" w:cs="Arial"/>
          <w:color w:val="000000"/>
          <w:lang w:val="pt-BR"/>
        </w:rPr>
        <w:t xml:space="preserve"> 2016).</w:t>
      </w:r>
    </w:p>
    <w:p w14:paraId="1818CFB7" w14:textId="7F21A72C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1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A prática de exercícios físicos regulares, aliada ao consumo compatível das necessidades do indivíduo influencia positivamente na composição corpora</w:t>
      </w:r>
      <w:r w:rsidRPr="0006079F">
        <w:rPr>
          <w:rFonts w:ascii="Arial" w:eastAsia="Arial" w:hAnsi="Arial" w:cs="Arial"/>
          <w:color w:val="000000"/>
          <w:lang w:val="pt-BR"/>
        </w:rPr>
        <w:t xml:space="preserve">l dos idosos. Todavia, a </w:t>
      </w:r>
      <w:r w:rsidR="0006079F" w:rsidRPr="0006079F">
        <w:rPr>
          <w:rFonts w:ascii="Arial" w:eastAsia="Arial" w:hAnsi="Arial" w:cs="Arial"/>
          <w:color w:val="000000"/>
          <w:lang w:val="pt-BR"/>
        </w:rPr>
        <w:t>alimentação deficiente ligada</w:t>
      </w:r>
      <w:r w:rsidRPr="0006079F">
        <w:rPr>
          <w:rFonts w:ascii="Arial" w:eastAsia="Arial" w:hAnsi="Arial" w:cs="Arial"/>
          <w:color w:val="000000"/>
          <w:lang w:val="pt-BR"/>
        </w:rPr>
        <w:t xml:space="preserve"> a inatividade física favorece a continua perda de massa muscular, ocasionando uma redução da força e resistência (VALENTIM; CARRAPEIRO; GURGEL,2016).</w:t>
      </w:r>
    </w:p>
    <w:p w14:paraId="0AE55E46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1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Os efeitos dos exercícios interferem de </w:t>
      </w:r>
      <w:r w:rsidRPr="0006079F">
        <w:rPr>
          <w:rFonts w:ascii="Arial" w:eastAsia="Arial" w:hAnsi="Arial" w:cs="Arial"/>
          <w:color w:val="000000"/>
          <w:lang w:val="pt-BR"/>
        </w:rPr>
        <w:t xml:space="preserve">modo particular na composição corporal dos indivíduos, observando-se uma relação íntima entre os treinos anaeróbicos com o </w:t>
      </w:r>
      <w:r w:rsidRPr="0006079F">
        <w:rPr>
          <w:rFonts w:ascii="Arial" w:eastAsia="Arial" w:hAnsi="Arial" w:cs="Arial"/>
          <w:color w:val="000000"/>
          <w:lang w:val="pt-BR"/>
        </w:rPr>
        <w:lastRenderedPageBreak/>
        <w:t>aumento de massa muscular, força dos músculos e flexibilidade e, aumento de resistência, elevação do gasto energético e uma redução s</w:t>
      </w:r>
      <w:r w:rsidRPr="0006079F">
        <w:rPr>
          <w:rFonts w:ascii="Arial" w:eastAsia="Arial" w:hAnsi="Arial" w:cs="Arial"/>
          <w:color w:val="000000"/>
          <w:lang w:val="pt-BR"/>
        </w:rPr>
        <w:t xml:space="preserve">ignificativa do perfil corporal lipídico associados aos exercícios aeróbicos. Entretanto, o sedentarismo relativo ao envelhecimento </w:t>
      </w:r>
      <w:r w:rsidRPr="0006079F">
        <w:rPr>
          <w:rFonts w:ascii="Arial" w:eastAsia="Arial" w:hAnsi="Arial" w:cs="Arial"/>
          <w:color w:val="000000"/>
          <w:lang w:val="pt-BR"/>
        </w:rPr>
        <w:t>favorece  diminuição</w:t>
      </w:r>
      <w:r w:rsidRPr="0006079F">
        <w:rPr>
          <w:rFonts w:ascii="Arial" w:eastAsia="Arial" w:hAnsi="Arial" w:cs="Arial"/>
          <w:color w:val="000000"/>
          <w:lang w:val="pt-BR"/>
        </w:rPr>
        <w:t xml:space="preserve"> da capacidade funcional, fraqueza e uma menor resistência na realização de atividades cotidianas entre </w:t>
      </w:r>
      <w:r w:rsidRPr="0006079F">
        <w:rPr>
          <w:rFonts w:ascii="Arial" w:eastAsia="Arial" w:hAnsi="Arial" w:cs="Arial"/>
          <w:color w:val="000000"/>
          <w:lang w:val="pt-BR"/>
        </w:rPr>
        <w:t xml:space="preserve">os idosos (FERREIRA, 2003; POLITO </w:t>
      </w:r>
      <w:r w:rsidRPr="0006079F">
        <w:rPr>
          <w:rFonts w:ascii="Arial" w:eastAsia="Arial" w:hAnsi="Arial" w:cs="Arial"/>
          <w:i/>
          <w:color w:val="000000"/>
          <w:lang w:val="pt-BR"/>
        </w:rPr>
        <w:t>et al.</w:t>
      </w:r>
      <w:r w:rsidRPr="0006079F">
        <w:rPr>
          <w:rFonts w:ascii="Arial" w:eastAsia="Arial" w:hAnsi="Arial" w:cs="Arial"/>
          <w:color w:val="000000"/>
          <w:lang w:val="pt-BR"/>
        </w:rPr>
        <w:t xml:space="preserve"> 2010; ALMEIDA; SILVA, 2016).</w:t>
      </w:r>
    </w:p>
    <w:p w14:paraId="1C5E5F26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709"/>
        </w:tabs>
        <w:spacing w:after="1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Diante desse contexto, estudos sobre a otimização da composição corporal desta população sugere-se, principalmente, a realização de exercícios aeróbicos de intensidade moderada com duração mínima de 30 minutos cotidianos com repetição de 5 vezes s</w:t>
      </w:r>
      <w:r w:rsidRPr="0006079F">
        <w:rPr>
          <w:rFonts w:ascii="Arial" w:eastAsia="Arial" w:hAnsi="Arial" w:cs="Arial"/>
          <w:color w:val="000000"/>
          <w:lang w:val="pt-BR"/>
        </w:rPr>
        <w:t>emanais ou a prática intensa três vezes na semana com duração de 20 minutos e/ou exercícios de força duas vezes ou mais na semana em dias não subsecutivos, com repetições entre oito a dez para cada grupo muscular, variando a intensidade de moderado a inten</w:t>
      </w:r>
      <w:r w:rsidRPr="0006079F">
        <w:rPr>
          <w:rFonts w:ascii="Arial" w:eastAsia="Arial" w:hAnsi="Arial" w:cs="Arial"/>
          <w:color w:val="000000"/>
          <w:lang w:val="pt-BR"/>
        </w:rPr>
        <w:t xml:space="preserve">so (MACIEL, 2010; MEDEIROS; COELHO; GUERRA, 2018).           </w:t>
      </w:r>
    </w:p>
    <w:p w14:paraId="6B7505BA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709"/>
        </w:tabs>
        <w:spacing w:after="1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Observando as principais alterações e fatores que influenciam no consumo e constituição corporal durante o envelhecimento, o </w:t>
      </w:r>
      <w:r w:rsidRPr="0006079F">
        <w:rPr>
          <w:rFonts w:ascii="Arial" w:eastAsia="Arial" w:hAnsi="Arial" w:cs="Arial"/>
          <w:color w:val="000000"/>
          <w:lang w:val="pt-BR"/>
        </w:rPr>
        <w:t>presente artigo objetivou comparar o consumo alimentar e a co</w:t>
      </w:r>
      <w:r w:rsidRPr="0006079F">
        <w:rPr>
          <w:rFonts w:ascii="Arial" w:eastAsia="Arial" w:hAnsi="Arial" w:cs="Arial"/>
          <w:color w:val="000000"/>
          <w:lang w:val="pt-BR"/>
        </w:rPr>
        <w:t>mposição corporal entre idosos que praticantes e não praticantes de atividade física. </w:t>
      </w:r>
    </w:p>
    <w:p w14:paraId="03699102" w14:textId="77777777" w:rsidR="00CD1DD1" w:rsidRPr="0006079F" w:rsidRDefault="00CD1DD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Arial" w:eastAsia="Arial" w:hAnsi="Arial" w:cs="Arial"/>
          <w:color w:val="000000"/>
          <w:lang w:val="pt-BR"/>
        </w:rPr>
      </w:pPr>
    </w:p>
    <w:p w14:paraId="03ECA484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200" w:line="360" w:lineRule="auto"/>
        <w:jc w:val="both"/>
        <w:rPr>
          <w:rFonts w:ascii="Arial" w:eastAsia="Arial" w:hAnsi="Arial" w:cs="Arial"/>
          <w:b/>
          <w:color w:val="000000"/>
          <w:lang w:val="pt-BR"/>
        </w:rPr>
      </w:pPr>
      <w:r w:rsidRPr="0006079F">
        <w:rPr>
          <w:rFonts w:ascii="Arial" w:eastAsia="Arial" w:hAnsi="Arial" w:cs="Arial"/>
          <w:b/>
          <w:color w:val="000000"/>
          <w:lang w:val="pt-BR"/>
        </w:rPr>
        <w:t>MÉTODO</w:t>
      </w:r>
    </w:p>
    <w:p w14:paraId="28700491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before="240"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Trata-se de um estudo descritivo, de corte transversal, de natureza quantitativa. Sua realização ocorreu em uma unidade básica do Programa Saúde da Família (PSF), localizado no município de Carpina. </w:t>
      </w:r>
    </w:p>
    <w:p w14:paraId="6C6BF362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before="240"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Para a obtenção da amostra, foram </w:t>
      </w:r>
      <w:r w:rsidRPr="0006079F">
        <w:rPr>
          <w:rFonts w:ascii="Arial" w:eastAsia="Arial" w:hAnsi="Arial" w:cs="Arial"/>
          <w:color w:val="000000"/>
          <w:lang w:val="pt-BR"/>
        </w:rPr>
        <w:t>utilizados como critério de inclusão: indivíduos com idade igual ou superior a 60 anos, que realizam a alimentação por administração oral e que praticasse atividade física com frequência mínima de 3 vezes por semana com duração igual ou superior a 30 minut</w:t>
      </w:r>
      <w:r w:rsidRPr="0006079F">
        <w:rPr>
          <w:rFonts w:ascii="Arial" w:eastAsia="Arial" w:hAnsi="Arial" w:cs="Arial"/>
          <w:color w:val="000000"/>
          <w:lang w:val="pt-BR"/>
        </w:rPr>
        <w:t>os/dia ou não praticasse nenhum tipo de exercício físico.</w:t>
      </w:r>
    </w:p>
    <w:p w14:paraId="0464E619" w14:textId="3C43636B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A coleta dos dados foi realizada no período entre agosto de 2018 a outubro de 2018. Na primeira etapa foi aplicado um questionário estruturado através de uma entrevista para coleta das va</w:t>
      </w:r>
      <w:r w:rsidRPr="0006079F">
        <w:rPr>
          <w:rFonts w:ascii="Arial" w:eastAsia="Arial" w:hAnsi="Arial" w:cs="Arial"/>
          <w:color w:val="000000"/>
          <w:lang w:val="pt-BR"/>
        </w:rPr>
        <w:t xml:space="preserve">riáveis </w:t>
      </w:r>
      <w:r w:rsidRPr="0006079F">
        <w:rPr>
          <w:rFonts w:ascii="Arial" w:eastAsia="Arial" w:hAnsi="Arial" w:cs="Arial"/>
          <w:color w:val="000000"/>
          <w:highlight w:val="white"/>
          <w:lang w:val="pt-BR"/>
        </w:rPr>
        <w:t xml:space="preserve">socioeconômicas </w:t>
      </w:r>
      <w:r w:rsidRPr="0006079F">
        <w:rPr>
          <w:rFonts w:ascii="Arial" w:eastAsia="Arial" w:hAnsi="Arial" w:cs="Arial"/>
          <w:color w:val="000000"/>
          <w:lang w:val="pt-BR"/>
        </w:rPr>
        <w:t>(idade, sexo, estado civil, renda familiar e grau de escolaridade)</w:t>
      </w:r>
      <w:r w:rsidRPr="0006079F">
        <w:rPr>
          <w:rFonts w:ascii="Arial" w:eastAsia="Arial" w:hAnsi="Arial" w:cs="Arial"/>
          <w:color w:val="000000"/>
          <w:highlight w:val="white"/>
          <w:lang w:val="pt-BR"/>
        </w:rPr>
        <w:t xml:space="preserve"> e</w:t>
      </w:r>
      <w:r w:rsidRPr="0006079F">
        <w:rPr>
          <w:rFonts w:ascii="Arial" w:eastAsia="Arial" w:hAnsi="Arial" w:cs="Arial"/>
          <w:color w:val="000000"/>
          <w:lang w:val="pt-BR"/>
        </w:rPr>
        <w:t xml:space="preserve"> antropométricas (peso, altura, circunferência do braço </w:t>
      </w:r>
      <w:r w:rsidRPr="0006079F">
        <w:rPr>
          <w:rFonts w:ascii="Arial" w:eastAsia="Arial" w:hAnsi="Arial" w:cs="Arial"/>
          <w:color w:val="000000"/>
          <w:lang w:val="pt-BR"/>
        </w:rPr>
        <w:lastRenderedPageBreak/>
        <w:t>(CB), circunferência de cintura (CC)</w:t>
      </w:r>
      <w:r w:rsidRPr="0006079F">
        <w:rPr>
          <w:rFonts w:ascii="Arial" w:eastAsia="Arial" w:hAnsi="Arial" w:cs="Arial"/>
          <w:color w:val="000000"/>
          <w:lang w:val="pt-BR"/>
        </w:rPr>
        <w:t>, circunferência da panturrilha (CP) e prega cutânea tricipital (PCT)).</w:t>
      </w:r>
      <w:r w:rsidRPr="0006079F">
        <w:rPr>
          <w:rFonts w:ascii="Arial" w:eastAsia="Arial" w:hAnsi="Arial" w:cs="Arial"/>
          <w:color w:val="000000"/>
          <w:lang w:val="pt-BR"/>
        </w:rPr>
        <w:t xml:space="preserve">  </w:t>
      </w:r>
    </w:p>
    <w:p w14:paraId="2DDC0B59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Para a mensuração do peso utilizou-se uma balança digital e calibrada com capacidade máxima de 150 quilogramas (kg). O idoso foi posicionado de pé, descalço, parado no centro da balança em posição ereta. O valor obtido foi registrado conforme</w:t>
      </w:r>
      <w:r w:rsidRPr="0006079F">
        <w:rPr>
          <w:rFonts w:ascii="Arial" w:eastAsia="Arial" w:hAnsi="Arial" w:cs="Arial"/>
          <w:color w:val="000000"/>
          <w:lang w:val="pt-BR"/>
        </w:rPr>
        <w:t xml:space="preserve"> a aferição e corresponde ao peso atual do indivíduo.</w:t>
      </w:r>
    </w:p>
    <w:p w14:paraId="6DAC2CFF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A mensuração da estatura foi realizada utilizando um estadiômetro, com o entrevistado descalço e em posição ereta, posicionado com os membros superiores pendentes ao longo do corpo e a cabeça</w:t>
      </w:r>
      <w:r w:rsidRPr="0006079F">
        <w:rPr>
          <w:rFonts w:ascii="Arial" w:eastAsia="Arial" w:hAnsi="Arial" w:cs="Arial"/>
          <w:color w:val="000000"/>
          <w:lang w:val="pt-BR"/>
        </w:rPr>
        <w:t xml:space="preserve"> erguida, com os olhos mirando um plano horizontal à frente, de acordo com o plano de Frankfurt. </w:t>
      </w:r>
    </w:p>
    <w:p w14:paraId="01472069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Com os dados de peso e estatura, foi calculado o</w:t>
      </w:r>
      <w:r w:rsidRPr="0006079F">
        <w:rPr>
          <w:rFonts w:ascii="Arial" w:eastAsia="Arial" w:hAnsi="Arial" w:cs="Arial"/>
          <w:color w:val="000000"/>
          <w:highlight w:val="white"/>
          <w:lang w:val="pt-BR"/>
        </w:rPr>
        <w:t xml:space="preserve"> índice de massa corpórea (IMC) e adotado o</w:t>
      </w:r>
      <w:r w:rsidRPr="0006079F">
        <w:rPr>
          <w:rFonts w:ascii="Arial" w:eastAsia="Arial" w:hAnsi="Arial" w:cs="Arial"/>
          <w:color w:val="000000"/>
          <w:lang w:val="pt-BR"/>
        </w:rPr>
        <w:t xml:space="preserve"> ponto de corte de Lipschitz (1994) para classificação.</w:t>
      </w:r>
    </w:p>
    <w:p w14:paraId="20B313AB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A circunferência do braço (CB) foi aferida no membro superior não dominante, utilizando uma fita métrica inelástica, medido a partir do ponto médio entre o acrômio e o olecrano. Com os dados da CB foi feito os </w:t>
      </w:r>
      <w:r w:rsidRPr="0006079F">
        <w:rPr>
          <w:rFonts w:ascii="Arial" w:eastAsia="Arial" w:hAnsi="Arial" w:cs="Arial"/>
          <w:color w:val="000000"/>
          <w:lang w:val="pt-BR"/>
        </w:rPr>
        <w:t>cálculos de adequação com base no p</w:t>
      </w:r>
      <w:r w:rsidRPr="0006079F">
        <w:rPr>
          <w:rFonts w:ascii="Arial" w:eastAsia="Arial" w:hAnsi="Arial" w:cs="Arial"/>
          <w:color w:val="000000"/>
          <w:lang w:val="pt-BR"/>
        </w:rPr>
        <w:t>onto de corte de Frisancho (1990). A mensuração da circunferência da cintura (CC)</w:t>
      </w:r>
      <w:r w:rsidRPr="0006079F">
        <w:rPr>
          <w:rFonts w:ascii="Arial" w:eastAsia="Arial" w:hAnsi="Arial" w:cs="Arial"/>
          <w:b/>
          <w:color w:val="000000"/>
          <w:lang w:val="pt-BR"/>
        </w:rPr>
        <w:t xml:space="preserve"> </w:t>
      </w:r>
      <w:r w:rsidRPr="0006079F">
        <w:rPr>
          <w:rFonts w:ascii="Arial" w:eastAsia="Arial" w:hAnsi="Arial" w:cs="Arial"/>
          <w:color w:val="000000"/>
          <w:lang w:val="pt-BR"/>
        </w:rPr>
        <w:t>foi</w:t>
      </w:r>
      <w:r w:rsidRPr="0006079F">
        <w:rPr>
          <w:rFonts w:ascii="Arial" w:eastAsia="Arial" w:hAnsi="Arial" w:cs="Arial"/>
          <w:b/>
          <w:color w:val="000000"/>
          <w:lang w:val="pt-BR"/>
        </w:rPr>
        <w:t xml:space="preserve"> </w:t>
      </w:r>
      <w:r w:rsidRPr="0006079F">
        <w:rPr>
          <w:rFonts w:ascii="Arial" w:eastAsia="Arial" w:hAnsi="Arial" w:cs="Arial"/>
          <w:color w:val="000000"/>
          <w:lang w:val="pt-BR"/>
        </w:rPr>
        <w:t>feita a partir do ponto médio entre a crista ilíaca e a última costela. A classificação da CC foi feita de acordo com a referência de WHO (1998). A circunferência da Pant</w:t>
      </w:r>
      <w:r w:rsidRPr="0006079F">
        <w:rPr>
          <w:rFonts w:ascii="Arial" w:eastAsia="Arial" w:hAnsi="Arial" w:cs="Arial"/>
          <w:color w:val="000000"/>
          <w:lang w:val="pt-BR"/>
        </w:rPr>
        <w:t>urrilha (CP) foi realizada na perna esquerda, com uma fita métrica inelástica, na sua parte mais protuberante. Após valor aferido, foram classificadas adequadas as circunferências igual ou superior a 31 cm, para ambos os sexos. Segundo a Organização Mundia</w:t>
      </w:r>
      <w:r w:rsidRPr="0006079F">
        <w:rPr>
          <w:rFonts w:ascii="Arial" w:eastAsia="Arial" w:hAnsi="Arial" w:cs="Arial"/>
          <w:color w:val="000000"/>
          <w:lang w:val="pt-BR"/>
        </w:rPr>
        <w:t>l da Saúde (OMS), esta é a medida mais sensível da massa muscular nos idosos. Para a mensuração da prega cutânea tricipital (PCT), foi utilizado um adipômetro, a aferição foi feita no ponto médio do membro superior não dominante, entre o acrômio e olecrano</w:t>
      </w:r>
      <w:r w:rsidRPr="0006079F">
        <w:rPr>
          <w:rFonts w:ascii="Arial" w:eastAsia="Arial" w:hAnsi="Arial" w:cs="Arial"/>
          <w:color w:val="000000"/>
          <w:lang w:val="pt-BR"/>
        </w:rPr>
        <w:t xml:space="preserve"> do lado posterior. Foram feitas três vezes e utilizou-se a média das medições na adequação com base no ponto de corte de Frisancho (1990).</w:t>
      </w:r>
    </w:p>
    <w:p w14:paraId="11065174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Na segunda etapa, foi aplicado o questionário de frequência alimentar adaptado a partir da VIGITEL (Brasi</w:t>
      </w:r>
      <w:r w:rsidRPr="0006079F">
        <w:rPr>
          <w:rFonts w:ascii="Arial" w:eastAsia="Arial" w:hAnsi="Arial" w:cs="Arial"/>
          <w:color w:val="000000"/>
          <w:lang w:val="pt-BR"/>
        </w:rPr>
        <w:t xml:space="preserve">l, 2014), validado para a investigação de consumo de alimentos e sua associação às doenças crônicas. O questionário era composto por 20 </w:t>
      </w:r>
      <w:r w:rsidRPr="0006079F">
        <w:rPr>
          <w:rFonts w:ascii="Arial" w:eastAsia="Arial" w:hAnsi="Arial" w:cs="Arial"/>
          <w:color w:val="000000"/>
          <w:lang w:val="pt-BR"/>
        </w:rPr>
        <w:lastRenderedPageBreak/>
        <w:t>questões relativas a comportamentos alimentares em geral e sobre a frequência e características de consumo de grupos ali</w:t>
      </w:r>
      <w:r w:rsidRPr="0006079F">
        <w:rPr>
          <w:rFonts w:ascii="Arial" w:eastAsia="Arial" w:hAnsi="Arial" w:cs="Arial"/>
          <w:color w:val="000000"/>
          <w:lang w:val="pt-BR"/>
        </w:rPr>
        <w:t xml:space="preserve">mentares. </w:t>
      </w:r>
    </w:p>
    <w:p w14:paraId="3A6F9550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   Destaca-se que o estudo atendeu </w:t>
      </w:r>
      <w:r w:rsidRPr="0006079F">
        <w:rPr>
          <w:rFonts w:ascii="Arial" w:eastAsia="Arial" w:hAnsi="Arial" w:cs="Arial"/>
          <w:color w:val="222222"/>
          <w:lang w:val="pt-BR"/>
        </w:rPr>
        <w:t xml:space="preserve">plenamente </w:t>
      </w:r>
      <w:r w:rsidRPr="0006079F">
        <w:rPr>
          <w:rFonts w:ascii="Arial" w:eastAsia="Arial" w:hAnsi="Arial" w:cs="Arial"/>
          <w:color w:val="000000"/>
          <w:lang w:val="pt-BR"/>
        </w:rPr>
        <w:t xml:space="preserve">às normas para a realização da pesquisa em seres humanos, analisado pelo </w:t>
      </w:r>
      <w:r w:rsidRPr="0006079F">
        <w:rPr>
          <w:rFonts w:ascii="Arial" w:eastAsia="Arial" w:hAnsi="Arial" w:cs="Arial"/>
          <w:lang w:val="pt-BR"/>
        </w:rPr>
        <w:t>comitê de ética da Faculdade Integrada da Vitória de Santo Antão e apresentado como número do parecer 16024919.2.0000.9227</w:t>
      </w:r>
      <w:r w:rsidRPr="0006079F">
        <w:rPr>
          <w:rFonts w:ascii="Arial" w:eastAsia="Arial" w:hAnsi="Arial" w:cs="Arial"/>
          <w:color w:val="000000"/>
          <w:lang w:val="pt-BR"/>
        </w:rPr>
        <w:t xml:space="preserve"> conforme a Resolução N°466/12 do Conselho Nacional de Saúde</w:t>
      </w:r>
      <w:r w:rsidRPr="0006079F">
        <w:rPr>
          <w:rFonts w:ascii="Arial" w:eastAsia="Arial" w:hAnsi="Arial" w:cs="Arial"/>
          <w:lang w:val="pt-BR"/>
        </w:rPr>
        <w:t xml:space="preserve">, </w:t>
      </w:r>
      <w:r w:rsidRPr="0006079F">
        <w:rPr>
          <w:rFonts w:ascii="Arial" w:eastAsia="Arial" w:hAnsi="Arial" w:cs="Arial"/>
          <w:color w:val="000000"/>
          <w:lang w:val="pt-BR"/>
        </w:rPr>
        <w:t xml:space="preserve"> Os idosos tiveram participação voluntária, por intermédio da assinatura</w:t>
      </w:r>
      <w:r w:rsidRPr="0006079F">
        <w:rPr>
          <w:rFonts w:ascii="Arial" w:eastAsia="Arial" w:hAnsi="Arial" w:cs="Arial"/>
          <w:color w:val="000000"/>
          <w:lang w:val="pt-BR"/>
        </w:rPr>
        <w:t xml:space="preserve"> do Termo de Consentimento Livre Esclarecido. </w:t>
      </w:r>
    </w:p>
    <w:p w14:paraId="65BFE8CD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Todos os dados que foram coletados pelas pesquisadoras e a construção do banco de dados e as análises estatísticas foram realizadas no programa Excel. As variáveis foram </w:t>
      </w:r>
      <w:r w:rsidRPr="0006079F">
        <w:rPr>
          <w:rFonts w:ascii="Arial" w:eastAsia="Arial" w:hAnsi="Arial" w:cs="Arial"/>
          <w:color w:val="000000"/>
          <w:lang w:val="pt-BR"/>
        </w:rPr>
        <w:t>descritas na forma de médias e desvios padrões. As associações entre as var</w:t>
      </w:r>
      <w:r w:rsidRPr="0006079F">
        <w:rPr>
          <w:rFonts w:ascii="Arial" w:eastAsia="Arial" w:hAnsi="Arial" w:cs="Arial"/>
          <w:color w:val="000000"/>
          <w:lang w:val="pt-BR"/>
        </w:rPr>
        <w:t>iáveis serão realizadas pelo “t” de student para comparações das médias. A significância estatística adotada foi definida com p&lt;0,05.</w:t>
      </w:r>
    </w:p>
    <w:p w14:paraId="0E52F49D" w14:textId="77777777" w:rsidR="00CD1DD1" w:rsidRPr="0006079F" w:rsidRDefault="00CD1DD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</w:p>
    <w:p w14:paraId="1F7EF358" w14:textId="77777777" w:rsidR="00CD1DD1" w:rsidRPr="0006079F" w:rsidRDefault="00DA361C">
      <w:pPr>
        <w:rPr>
          <w:rFonts w:ascii="Arial" w:eastAsia="Arial" w:hAnsi="Arial" w:cs="Arial"/>
          <w:b/>
          <w:color w:val="000000"/>
          <w:lang w:val="pt-BR"/>
        </w:rPr>
      </w:pPr>
      <w:r w:rsidRPr="0006079F">
        <w:rPr>
          <w:rFonts w:ascii="Arial" w:eastAsia="Arial" w:hAnsi="Arial" w:cs="Arial"/>
          <w:b/>
          <w:color w:val="000000"/>
          <w:lang w:val="pt-BR"/>
        </w:rPr>
        <w:t>RESULTADOS</w:t>
      </w:r>
    </w:p>
    <w:p w14:paraId="644A354F" w14:textId="77777777" w:rsidR="00CD1DD1" w:rsidRPr="0006079F" w:rsidRDefault="00CD1DD1">
      <w:pPr>
        <w:rPr>
          <w:rFonts w:ascii="Arial" w:eastAsia="Arial" w:hAnsi="Arial" w:cs="Arial"/>
          <w:b/>
          <w:color w:val="000000"/>
          <w:lang w:val="pt-BR"/>
        </w:rPr>
      </w:pPr>
    </w:p>
    <w:p w14:paraId="0DEBF656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 A amostra foi composta por 29 idosos de ambos os sexos, sendo 15 praticantes de exercício físico </w:t>
      </w:r>
      <w:r w:rsidRPr="0006079F">
        <w:rPr>
          <w:rFonts w:ascii="Arial" w:eastAsia="Arial" w:hAnsi="Arial" w:cs="Arial"/>
          <w:color w:val="000000"/>
          <w:lang w:val="pt-BR"/>
        </w:rPr>
        <w:t>grupo 1 (G1) e 14 não praticantes grupo 2 (G2). A idade média do G1 foi (70,2 ± 4,85 anos) e no G2 (68,7 ± 5,67 anos), sem diferença estatística entre os dois grupos (p=0,223).</w:t>
      </w:r>
    </w:p>
    <w:p w14:paraId="30560487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200" w:line="360" w:lineRule="auto"/>
        <w:ind w:left="60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Na tabela 1, foram descritas as características socioeconômicas e clínicas dos idosos avaliados, tendo como variáveis: sexo, escolaridade, estado civil, renda e clínicas</w:t>
      </w:r>
    </w:p>
    <w:p w14:paraId="6EF88D3A" w14:textId="77777777" w:rsidR="00CD1DD1" w:rsidRPr="0006079F" w:rsidRDefault="00CD1DD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val="pt-BR"/>
        </w:rPr>
        <w:sectPr w:rsidR="00CD1DD1" w:rsidRPr="0006079F">
          <w:type w:val="continuous"/>
          <w:pgSz w:w="11900" w:h="16840"/>
          <w:pgMar w:top="1418" w:right="1418" w:bottom="1418" w:left="1418" w:header="709" w:footer="709" w:gutter="0"/>
          <w:cols w:num="2" w:space="720" w:equalWidth="0">
            <w:col w:w="4172" w:space="720"/>
            <w:col w:w="4172" w:space="0"/>
          </w:cols>
        </w:sectPr>
      </w:pPr>
    </w:p>
    <w:p w14:paraId="504ED046" w14:textId="77777777" w:rsidR="00CD1DD1" w:rsidRDefault="00DA36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079F">
        <w:rPr>
          <w:rFonts w:ascii="Arial" w:eastAsia="Arial" w:hAnsi="Arial" w:cs="Arial"/>
          <w:b/>
          <w:color w:val="000000"/>
          <w:sz w:val="20"/>
          <w:szCs w:val="20"/>
          <w:lang w:val="pt-BR"/>
        </w:rPr>
        <w:t>Tabela 1</w:t>
      </w:r>
      <w:r w:rsidRPr="0006079F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. Caracterização das variáveis socioeconômicas e clínicas do grupo 1 e grupo 2. </w:t>
      </w:r>
      <w:r>
        <w:rPr>
          <w:rFonts w:ascii="Arial" w:eastAsia="Arial" w:hAnsi="Arial" w:cs="Arial"/>
          <w:color w:val="000000"/>
          <w:sz w:val="20"/>
          <w:szCs w:val="20"/>
        </w:rPr>
        <w:t>Recife, PE, 2018.</w:t>
      </w:r>
    </w:p>
    <w:tbl>
      <w:tblPr>
        <w:tblStyle w:val="a3"/>
        <w:tblW w:w="7886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048"/>
        <w:gridCol w:w="1365"/>
        <w:gridCol w:w="1504"/>
        <w:gridCol w:w="1319"/>
        <w:gridCol w:w="1650"/>
      </w:tblGrid>
      <w:tr w:rsidR="00CD1DD1" w14:paraId="70C58E8B" w14:textId="77777777">
        <w:trPr>
          <w:trHeight w:val="280"/>
        </w:trPr>
        <w:tc>
          <w:tcPr>
            <w:tcW w:w="204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8DDF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Variáveis</w:t>
            </w:r>
          </w:p>
        </w:tc>
        <w:tc>
          <w:tcPr>
            <w:tcW w:w="286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580" w:type="dxa"/>
              <w:bottom w:w="80" w:type="dxa"/>
              <w:right w:w="80" w:type="dxa"/>
            </w:tcMar>
          </w:tcPr>
          <w:p w14:paraId="5588A3C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Grupo 1</w:t>
            </w:r>
          </w:p>
        </w:tc>
        <w:tc>
          <w:tcPr>
            <w:tcW w:w="296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580" w:type="dxa"/>
              <w:bottom w:w="80" w:type="dxa"/>
              <w:right w:w="80" w:type="dxa"/>
            </w:tcMar>
          </w:tcPr>
          <w:p w14:paraId="75FFC8C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Grupo 2</w:t>
            </w:r>
          </w:p>
        </w:tc>
      </w:tr>
      <w:tr w:rsidR="00CD1DD1" w14:paraId="63E4E571" w14:textId="77777777">
        <w:trPr>
          <w:trHeight w:val="240"/>
        </w:trPr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6334" w14:textId="77777777" w:rsidR="00CD1DD1" w:rsidRDefault="00CD1DD1"/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CB3B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6FD3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D3EB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B9F24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(%)</w:t>
            </w:r>
          </w:p>
        </w:tc>
      </w:tr>
      <w:tr w:rsidR="00CD1DD1" w14:paraId="0F08ED81" w14:textId="77777777">
        <w:trPr>
          <w:trHeight w:val="240"/>
        </w:trPr>
        <w:tc>
          <w:tcPr>
            <w:tcW w:w="20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3172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Sexo 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D5EEF" w14:textId="77777777" w:rsidR="00CD1DD1" w:rsidRDefault="00CD1DD1"/>
        </w:tc>
        <w:tc>
          <w:tcPr>
            <w:tcW w:w="15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FD023" w14:textId="77777777" w:rsidR="00CD1DD1" w:rsidRDefault="00CD1DD1"/>
        </w:tc>
        <w:tc>
          <w:tcPr>
            <w:tcW w:w="13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0BC56" w14:textId="77777777" w:rsidR="00CD1DD1" w:rsidRDefault="00CD1DD1"/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5FF1F" w14:textId="77777777" w:rsidR="00CD1DD1" w:rsidRDefault="00CD1DD1"/>
        </w:tc>
      </w:tr>
      <w:tr w:rsidR="00CD1DD1" w14:paraId="58946423" w14:textId="77777777">
        <w:trPr>
          <w:trHeight w:val="24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C2BE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Feminino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D260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47C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3070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1E67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92,9</w:t>
            </w:r>
          </w:p>
        </w:tc>
      </w:tr>
      <w:tr w:rsidR="00CD1DD1" w14:paraId="5B609655" w14:textId="77777777">
        <w:trPr>
          <w:trHeight w:val="24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26FE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Masculino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AF70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33B73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C637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1EC3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7,1</w:t>
            </w:r>
          </w:p>
        </w:tc>
      </w:tr>
      <w:tr w:rsidR="00CD1DD1" w14:paraId="211FE803" w14:textId="77777777">
        <w:trPr>
          <w:trHeight w:val="4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4213C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392BB2E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Escolaridade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BBD15" w14:textId="77777777" w:rsidR="00CD1DD1" w:rsidRDefault="00CD1DD1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1B50F" w14:textId="77777777" w:rsidR="00CD1DD1" w:rsidRDefault="00CD1DD1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BBF8A" w14:textId="77777777" w:rsidR="00CD1DD1" w:rsidRDefault="00CD1DD1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E8B9" w14:textId="77777777" w:rsidR="00CD1DD1" w:rsidRDefault="00CD1DD1"/>
        </w:tc>
      </w:tr>
      <w:tr w:rsidR="00CD1DD1" w14:paraId="542B0736" w14:textId="77777777">
        <w:trPr>
          <w:trHeight w:val="24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476A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Fundamental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8F46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415E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98254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9C5EE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71,4</w:t>
            </w:r>
          </w:p>
        </w:tc>
      </w:tr>
      <w:tr w:rsidR="00CD1DD1" w14:paraId="6F1A8FBA" w14:textId="77777777">
        <w:trPr>
          <w:trHeight w:val="24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094F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 Médio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5BE3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4E7F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48430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016E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28,6</w:t>
            </w:r>
          </w:p>
        </w:tc>
      </w:tr>
      <w:tr w:rsidR="00CD1DD1" w14:paraId="1820CE03" w14:textId="77777777">
        <w:trPr>
          <w:trHeight w:val="30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8B22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Superior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85FD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249E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9C144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816D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CD1DD1" w14:paraId="38C49529" w14:textId="77777777">
        <w:trPr>
          <w:trHeight w:val="4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BFA78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E149BF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Estado Civil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052C9" w14:textId="77777777" w:rsidR="00CD1DD1" w:rsidRDefault="00CD1DD1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4ACC2" w14:textId="77777777" w:rsidR="00CD1DD1" w:rsidRDefault="00CD1DD1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449BE" w14:textId="77777777" w:rsidR="00CD1DD1" w:rsidRDefault="00CD1DD1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DF1DE" w14:textId="77777777" w:rsidR="00CD1DD1" w:rsidRDefault="00CD1DD1"/>
        </w:tc>
      </w:tr>
      <w:tr w:rsidR="00CD1DD1" w14:paraId="7029894B" w14:textId="77777777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B129E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C/ companheiro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379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E09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8E6C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AA1AE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35,7</w:t>
            </w:r>
          </w:p>
        </w:tc>
      </w:tr>
      <w:tr w:rsidR="00CD1DD1" w14:paraId="1AC49F14" w14:textId="77777777">
        <w:trPr>
          <w:trHeight w:val="36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4F07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S/ companheiro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9E68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EFA4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4593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FBAF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64,3</w:t>
            </w:r>
          </w:p>
        </w:tc>
      </w:tr>
      <w:tr w:rsidR="00CD1DD1" w14:paraId="4C4CB256" w14:textId="77777777">
        <w:trPr>
          <w:trHeight w:val="24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73C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Renda*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20F10" w14:textId="77777777" w:rsidR="00CD1DD1" w:rsidRDefault="00CD1DD1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883E6" w14:textId="77777777" w:rsidR="00CD1DD1" w:rsidRDefault="00CD1DD1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8D30A" w14:textId="77777777" w:rsidR="00CD1DD1" w:rsidRDefault="00CD1DD1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50139" w14:textId="77777777" w:rsidR="00CD1DD1" w:rsidRDefault="00CD1DD1"/>
        </w:tc>
      </w:tr>
      <w:tr w:rsidR="00CD1DD1" w14:paraId="00DB4F91" w14:textId="77777777">
        <w:trPr>
          <w:trHeight w:val="24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263C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≤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 salario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E7FE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2CA2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85,7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2DE1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EE59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64,3</w:t>
            </w:r>
          </w:p>
        </w:tc>
      </w:tr>
      <w:tr w:rsidR="00CD1DD1" w14:paraId="6E563DB9" w14:textId="77777777">
        <w:trPr>
          <w:trHeight w:val="24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8227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&gt;1 salario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06484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CDD1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14,3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A91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8E85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35,7</w:t>
            </w:r>
          </w:p>
        </w:tc>
      </w:tr>
      <w:tr w:rsidR="00CD1DD1" w14:paraId="4E79774B" w14:textId="77777777">
        <w:trPr>
          <w:trHeight w:val="4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AE69A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4BDA0A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DCNT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8E024" w14:textId="77777777" w:rsidR="00CD1DD1" w:rsidRDefault="00CD1DD1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B84C4" w14:textId="77777777" w:rsidR="00CD1DD1" w:rsidRDefault="00CD1DD1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13C2E" w14:textId="77777777" w:rsidR="00CD1DD1" w:rsidRDefault="00CD1DD1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E76A0" w14:textId="77777777" w:rsidR="00CD1DD1" w:rsidRDefault="00CD1DD1"/>
        </w:tc>
      </w:tr>
      <w:tr w:rsidR="00CD1DD1" w14:paraId="7E0BA6B5" w14:textId="77777777">
        <w:trPr>
          <w:trHeight w:val="24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267A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Sim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FD96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4D6F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86,7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73CD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6A52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78,6</w:t>
            </w:r>
          </w:p>
        </w:tc>
      </w:tr>
      <w:tr w:rsidR="00CD1DD1" w14:paraId="27901E4F" w14:textId="77777777">
        <w:trPr>
          <w:trHeight w:val="240"/>
        </w:trPr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76C2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Não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D24D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BB5B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AE6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AC623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21,4</w:t>
            </w:r>
          </w:p>
        </w:tc>
      </w:tr>
    </w:tbl>
    <w:p w14:paraId="5EE78CA5" w14:textId="77777777" w:rsidR="00CD1DD1" w:rsidRDefault="00CD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40B8EDF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06079F">
        <w:rPr>
          <w:rFonts w:ascii="Arial" w:eastAsia="Arial" w:hAnsi="Arial" w:cs="Arial"/>
          <w:color w:val="000000"/>
          <w:sz w:val="18"/>
          <w:szCs w:val="18"/>
          <w:lang w:val="pt-BR"/>
        </w:rPr>
        <w:t>Nota: *1 participante do grupo 1, negou-se a responder a variável renda, então para este dado, o n total foi de 14.</w:t>
      </w:r>
    </w:p>
    <w:p w14:paraId="7A7507A8" w14:textId="77777777" w:rsidR="00CD1DD1" w:rsidRPr="0006079F" w:rsidRDefault="00CD1DD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  <w:sectPr w:rsidR="00CD1DD1" w:rsidRPr="0006079F">
          <w:type w:val="continuous"/>
          <w:pgSz w:w="11900" w:h="16840"/>
          <w:pgMar w:top="1418" w:right="1418" w:bottom="1418" w:left="1418" w:header="709" w:footer="709" w:gutter="0"/>
          <w:cols w:space="720"/>
        </w:sectPr>
      </w:pPr>
    </w:p>
    <w:p w14:paraId="76B3A19A" w14:textId="5450D68B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Foi observado a predominância do sexo feminino nos dois grupos. Na variável escolaridade, o G1 apresentou apenas um participante com nível superior (6,7%), já no G2 não obteve nenhum participante, porém, quando analisado o ensino médio, o G2 apr</w:t>
      </w:r>
      <w:r w:rsidRPr="0006079F">
        <w:rPr>
          <w:rFonts w:ascii="Arial" w:eastAsia="Arial" w:hAnsi="Arial" w:cs="Arial"/>
          <w:color w:val="000000"/>
          <w:lang w:val="pt-BR"/>
        </w:rPr>
        <w:t>esentou percentuais maiores (28,6%; n=4) que o G1 (16,7%; n=1). Na variável renda, observa-se que ambos os grupos apresentam uma preponderância de um salário</w:t>
      </w:r>
      <w:r w:rsidRPr="0006079F">
        <w:rPr>
          <w:rFonts w:ascii="Arial" w:eastAsia="Arial" w:hAnsi="Arial" w:cs="Arial"/>
          <w:color w:val="000000"/>
          <w:lang w:val="pt-BR"/>
        </w:rPr>
        <w:t xml:space="preserve"> mínimo de renda mensal, sendo 85,7% (n=12) do G1 e 64,3% (n=9) do G2. Em relação </w:t>
      </w:r>
      <w:r w:rsidRPr="0006079F">
        <w:rPr>
          <w:rFonts w:ascii="Arial" w:eastAsia="Arial" w:hAnsi="Arial" w:cs="Arial"/>
          <w:color w:val="000000"/>
          <w:lang w:val="pt-BR"/>
        </w:rPr>
        <w:t>a variável clínic</w:t>
      </w:r>
      <w:r w:rsidRPr="0006079F">
        <w:rPr>
          <w:rFonts w:ascii="Arial" w:eastAsia="Arial" w:hAnsi="Arial" w:cs="Arial"/>
          <w:color w:val="000000"/>
          <w:lang w:val="pt-BR"/>
        </w:rPr>
        <w:t>a onde foi questionado a presença de doenças crônicas, mais especificamente diabete mellitus e hipertensão arterial, obteve como resultado a prevalência dessas patologias nas duas amostras.</w:t>
      </w:r>
    </w:p>
    <w:p w14:paraId="644B8E99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  <w:sectPr w:rsidR="00CD1DD1" w:rsidRPr="0006079F">
          <w:type w:val="continuous"/>
          <w:pgSz w:w="11900" w:h="16840"/>
          <w:pgMar w:top="1418" w:right="1418" w:bottom="1418" w:left="1418" w:header="709" w:footer="709" w:gutter="0"/>
          <w:cols w:num="2" w:space="720" w:equalWidth="0">
            <w:col w:w="4172" w:space="720"/>
            <w:col w:w="4172" w:space="0"/>
          </w:cols>
        </w:sect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Na tabela 2, encontra-se a comparação das variáveis antropométricas entre os dois grupos estudados, por meio dos valores médios e seus respectivos desvios padrões.</w:t>
      </w:r>
    </w:p>
    <w:p w14:paraId="41AA74F3" w14:textId="77777777" w:rsidR="00CD1DD1" w:rsidRPr="0006079F" w:rsidRDefault="00CD1DD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</w:p>
    <w:p w14:paraId="4355614C" w14:textId="77777777" w:rsidR="00CD1DD1" w:rsidRDefault="00DA36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06079F">
        <w:rPr>
          <w:rFonts w:ascii="Arial" w:eastAsia="Arial" w:hAnsi="Arial" w:cs="Arial"/>
          <w:b/>
          <w:color w:val="000000"/>
          <w:sz w:val="18"/>
          <w:szCs w:val="18"/>
          <w:lang w:val="pt-BR"/>
        </w:rPr>
        <w:t>Tabela 2.</w:t>
      </w:r>
      <w:r w:rsidRPr="0006079F">
        <w:rPr>
          <w:rFonts w:ascii="Arial" w:eastAsia="Arial" w:hAnsi="Arial" w:cs="Arial"/>
          <w:color w:val="000000"/>
          <w:sz w:val="18"/>
          <w:szCs w:val="18"/>
          <w:lang w:val="pt-BR"/>
        </w:rPr>
        <w:t xml:space="preserve"> Comparação das médias e desvio-padrão das variáveis antropométricas en</w:t>
      </w:r>
      <w:r w:rsidRPr="0006079F">
        <w:rPr>
          <w:rFonts w:ascii="Arial" w:eastAsia="Arial" w:hAnsi="Arial" w:cs="Arial"/>
          <w:color w:val="000000"/>
          <w:sz w:val="18"/>
          <w:szCs w:val="18"/>
          <w:lang w:val="pt-BR"/>
        </w:rPr>
        <w:t xml:space="preserve">tre os grupos. </w:t>
      </w:r>
      <w:r>
        <w:rPr>
          <w:rFonts w:ascii="Arial" w:eastAsia="Arial" w:hAnsi="Arial" w:cs="Arial"/>
          <w:color w:val="000000"/>
          <w:sz w:val="18"/>
          <w:szCs w:val="18"/>
        </w:rPr>
        <w:t>Carpina, PE, 2018.</w:t>
      </w:r>
    </w:p>
    <w:tbl>
      <w:tblPr>
        <w:tblStyle w:val="a4"/>
        <w:tblW w:w="82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388"/>
        <w:gridCol w:w="1098"/>
        <w:gridCol w:w="1388"/>
        <w:gridCol w:w="1305"/>
        <w:gridCol w:w="1098"/>
      </w:tblGrid>
      <w:tr w:rsidR="00CD1DD1" w14:paraId="11ED984C" w14:textId="77777777">
        <w:trPr>
          <w:trHeight w:val="240"/>
          <w:jc w:val="center"/>
        </w:trPr>
        <w:tc>
          <w:tcPr>
            <w:tcW w:w="20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2845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Variáveis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BCE6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Grupo 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931B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Grupo 2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5D29C" w14:textId="77777777" w:rsidR="00CD1DD1" w:rsidRDefault="00CD1DD1"/>
        </w:tc>
      </w:tr>
      <w:tr w:rsidR="00CD1DD1" w14:paraId="3E0F8D02" w14:textId="77777777">
        <w:trPr>
          <w:trHeight w:val="240"/>
          <w:jc w:val="center"/>
        </w:trPr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84531" w14:textId="77777777" w:rsidR="00CD1DD1" w:rsidRDefault="00CD1DD1">
            <w:pPr>
              <w:tabs>
                <w:tab w:val="left" w:pos="525"/>
              </w:tabs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361B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Média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94994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DP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89C44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Média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FACF3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DP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AD4B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</w:t>
            </w:r>
          </w:p>
        </w:tc>
      </w:tr>
      <w:tr w:rsidR="00CD1DD1" w14:paraId="6F409910" w14:textId="77777777">
        <w:trPr>
          <w:trHeight w:val="260"/>
          <w:jc w:val="center"/>
        </w:trPr>
        <w:tc>
          <w:tcPr>
            <w:tcW w:w="20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14A5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IMC (kg/m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E93F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93BE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3,58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97E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31,15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EFF8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4,87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E43E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0,03</w:t>
            </w:r>
          </w:p>
        </w:tc>
      </w:tr>
      <w:tr w:rsidR="00CD1DD1" w14:paraId="581A5383" w14:textId="77777777">
        <w:trPr>
          <w:trHeight w:val="240"/>
          <w:jc w:val="center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CDCF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CC (cm)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5EE2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D789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8,88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8752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31E6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11,43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228F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0,03</w:t>
            </w:r>
          </w:p>
        </w:tc>
      </w:tr>
      <w:tr w:rsidR="00CD1DD1" w14:paraId="3AB0C5EA" w14:textId="77777777">
        <w:trPr>
          <w:trHeight w:val="240"/>
          <w:jc w:val="center"/>
        </w:trPr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2A2E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6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CP (cm)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66D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9C69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438F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37,2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A38B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EAE4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0,13</w:t>
            </w:r>
          </w:p>
        </w:tc>
      </w:tr>
    </w:tbl>
    <w:p w14:paraId="2AA5800B" w14:textId="77777777" w:rsidR="00CD1DD1" w:rsidRDefault="00CD1DD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CD1DD1">
          <w:type w:val="continuous"/>
          <w:pgSz w:w="11900" w:h="16840"/>
          <w:pgMar w:top="1418" w:right="1418" w:bottom="1418" w:left="1418" w:header="709" w:footer="709" w:gutter="0"/>
          <w:cols w:space="720"/>
        </w:sectPr>
      </w:pPr>
    </w:p>
    <w:p w14:paraId="2A2DFE43" w14:textId="77777777" w:rsidR="00CD1DD1" w:rsidRDefault="00CD1DD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1802921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Houve diferença estatística significativa entre os grupos quando analisado as variáveis IMC e CC. O IMC médio do G1 apresentou-se menor quando comprado ao G2 (p=0,03) e o mesmo foi observado na média da CC (p=0,03). Já a CP, não apresentou difer</w:t>
      </w:r>
      <w:r w:rsidRPr="0006079F">
        <w:rPr>
          <w:rFonts w:ascii="Arial" w:eastAsia="Arial" w:hAnsi="Arial" w:cs="Arial"/>
          <w:color w:val="000000"/>
          <w:lang w:val="pt-BR"/>
        </w:rPr>
        <w:t>ença estatística significativa, entre os grupos estudados.</w:t>
      </w:r>
    </w:p>
    <w:p w14:paraId="6CB6BA31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A tabela 3 evidencia os percentuais IMC, CC, CP, CB e PCT. O parâmetro de excesso de peso foi de 9 (n=15) do G1 para 10 (n=14) do G2, tendo um percentual de 60% e 71,4%, respectivamente. </w:t>
      </w:r>
    </w:p>
    <w:p w14:paraId="3911D686" w14:textId="77777777" w:rsidR="00CD1DD1" w:rsidRPr="0006079F" w:rsidRDefault="00CD1DD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</w:p>
    <w:p w14:paraId="7C5F9BBB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 xml:space="preserve">A variável CC, obteve um percentual maior em relação ao </w:t>
      </w:r>
      <w:r w:rsidRPr="0006079F">
        <w:rPr>
          <w:rFonts w:ascii="Arial" w:eastAsia="Arial" w:hAnsi="Arial" w:cs="Arial"/>
          <w:color w:val="000000"/>
          <w:lang w:val="pt-BR"/>
        </w:rPr>
        <w:t>risco muito elevado tanto dos praticantes 80% (n=12) quanto dos não praticantes 92,9% (n=13). Para a variável CP, a classificação como eutrófico obteve prevalência nos grupos estudados, 93,3% (G1) e 92,9% (G2). A variável CB obteve mais da metade da amostr</w:t>
      </w:r>
      <w:r w:rsidRPr="0006079F">
        <w:rPr>
          <w:rFonts w:ascii="Arial" w:eastAsia="Arial" w:hAnsi="Arial" w:cs="Arial"/>
          <w:color w:val="000000"/>
          <w:lang w:val="pt-BR"/>
        </w:rPr>
        <w:t>a do G1 classificados como indivíduos eutróficos 66,7%, e no G2 observa uma maior dominância de sobrepeso 35,7% quando comparado ao G1 6,7%. Quando analisado a variável PCT, G2 obteve um maior</w:t>
      </w:r>
      <w:r w:rsidRPr="0006079F">
        <w:rPr>
          <w:rFonts w:ascii="Calibri" w:eastAsia="Calibri" w:hAnsi="Calibri" w:cs="Calibri"/>
          <w:color w:val="000000"/>
          <w:sz w:val="22"/>
          <w:szCs w:val="22"/>
          <w:lang w:val="pt-BR"/>
        </w:rPr>
        <w:t xml:space="preserve"> </w:t>
      </w:r>
      <w:r w:rsidRPr="0006079F">
        <w:rPr>
          <w:rFonts w:ascii="Arial" w:eastAsia="Arial" w:hAnsi="Arial" w:cs="Arial"/>
          <w:color w:val="000000"/>
          <w:lang w:val="pt-BR"/>
        </w:rPr>
        <w:t>predomínio de obesidade 28,6%</w:t>
      </w:r>
    </w:p>
    <w:p w14:paraId="7AE658F4" w14:textId="77777777" w:rsidR="00CD1DD1" w:rsidRPr="0006079F" w:rsidRDefault="00CD1DD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pt-BR"/>
        </w:rPr>
        <w:sectPr w:rsidR="00CD1DD1" w:rsidRPr="0006079F">
          <w:type w:val="continuous"/>
          <w:pgSz w:w="11900" w:h="16840"/>
          <w:pgMar w:top="1418" w:right="1418" w:bottom="1418" w:left="1418" w:header="709" w:footer="709" w:gutter="0"/>
          <w:cols w:num="2" w:space="720" w:equalWidth="0">
            <w:col w:w="4172" w:space="720"/>
            <w:col w:w="4172" w:space="0"/>
          </w:cols>
        </w:sectPr>
      </w:pPr>
    </w:p>
    <w:p w14:paraId="71EF8AF0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color w:val="000000"/>
          <w:sz w:val="18"/>
          <w:szCs w:val="18"/>
          <w:lang w:val="pt-BR"/>
        </w:rPr>
        <w:sectPr w:rsidR="00CD1DD1" w:rsidRPr="0006079F">
          <w:type w:val="continuous"/>
          <w:pgSz w:w="11900" w:h="16840"/>
          <w:pgMar w:top="1418" w:right="1418" w:bottom="1418" w:left="1418" w:header="709" w:footer="709" w:gutter="0"/>
          <w:cols w:space="720"/>
        </w:sectPr>
      </w:pPr>
      <w:r w:rsidRPr="0006079F">
        <w:rPr>
          <w:rFonts w:ascii="Arial" w:eastAsia="Arial" w:hAnsi="Arial" w:cs="Arial"/>
          <w:b/>
          <w:color w:val="000000"/>
          <w:sz w:val="18"/>
          <w:szCs w:val="18"/>
          <w:lang w:val="pt-BR"/>
        </w:rPr>
        <w:t>Tabela 3.</w:t>
      </w:r>
      <w:r w:rsidRPr="0006079F">
        <w:rPr>
          <w:rFonts w:ascii="Arial" w:eastAsia="Arial" w:hAnsi="Arial" w:cs="Arial"/>
          <w:color w:val="000000"/>
          <w:sz w:val="18"/>
          <w:szCs w:val="18"/>
          <w:lang w:val="pt-BR"/>
        </w:rPr>
        <w:t xml:space="preserve"> Classificação das variáveis antropométricas IMC, CC, CP, CB e PCT em </w:t>
      </w:r>
    </w:p>
    <w:p w14:paraId="0DB21499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06079F">
        <w:rPr>
          <w:rFonts w:ascii="Arial" w:eastAsia="Arial" w:hAnsi="Arial" w:cs="Arial"/>
          <w:color w:val="000000"/>
          <w:sz w:val="18"/>
          <w:szCs w:val="18"/>
          <w:lang w:val="pt-BR"/>
        </w:rPr>
        <w:t>percentuais entre os grupos. Carpina, PE, 2018.</w:t>
      </w:r>
    </w:p>
    <w:tbl>
      <w:tblPr>
        <w:tblStyle w:val="a5"/>
        <w:tblW w:w="769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481"/>
        <w:gridCol w:w="2964"/>
        <w:gridCol w:w="448"/>
        <w:gridCol w:w="1066"/>
        <w:gridCol w:w="227"/>
      </w:tblGrid>
      <w:tr w:rsidR="00CD1DD1" w14:paraId="68EB03F0" w14:textId="77777777">
        <w:trPr>
          <w:trHeight w:val="240"/>
          <w:jc w:val="center"/>
        </w:trPr>
        <w:tc>
          <w:tcPr>
            <w:tcW w:w="25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CEB5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Variáveis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DB74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Grupo 1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377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Grupo 2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8BDEE" w14:textId="77777777" w:rsidR="00CD1DD1" w:rsidRDefault="00CD1DD1"/>
        </w:tc>
      </w:tr>
      <w:tr w:rsidR="00CD1DD1" w14:paraId="182F3436" w14:textId="77777777">
        <w:trPr>
          <w:trHeight w:val="240"/>
          <w:jc w:val="center"/>
        </w:trPr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2FC09" w14:textId="77777777" w:rsidR="00CD1DD1" w:rsidRDefault="00CD1DD1"/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BA3A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3562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DE1E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2D0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%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8F5F" w14:textId="77777777" w:rsidR="00CD1DD1" w:rsidRDefault="00CD1DD1"/>
        </w:tc>
      </w:tr>
      <w:tr w:rsidR="00CD1DD1" w14:paraId="4197FCF1" w14:textId="77777777">
        <w:trPr>
          <w:trHeight w:val="1200"/>
          <w:jc w:val="center"/>
        </w:trPr>
        <w:tc>
          <w:tcPr>
            <w:tcW w:w="25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C977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IMC</w:t>
            </w:r>
          </w:p>
          <w:p w14:paraId="2E27CFDF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Baixo Peso</w:t>
            </w:r>
          </w:p>
          <w:p w14:paraId="485E583B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Eutrofia</w:t>
            </w:r>
          </w:p>
          <w:p w14:paraId="666BAE71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Excesso de Peso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00B2D" w14:textId="77777777" w:rsidR="00CD1DD1" w:rsidRPr="0006079F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</w:p>
          <w:p w14:paraId="1E89AD4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22C9D7F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  <w:p w14:paraId="346EB74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1B5B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BD53ABE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6,7</w:t>
            </w:r>
          </w:p>
          <w:p w14:paraId="0E3B45D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33,3</w:t>
            </w:r>
          </w:p>
          <w:p w14:paraId="12F33980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1A8A9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CE027F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  <w:p w14:paraId="2E6A475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  <w:p w14:paraId="3E406E5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5B1E2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916005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  <w:p w14:paraId="6C190B1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28,6</w:t>
            </w:r>
          </w:p>
          <w:p w14:paraId="17CC1FC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71,4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B7FF1" w14:textId="77777777" w:rsidR="00CD1DD1" w:rsidRDefault="00CD1DD1"/>
        </w:tc>
      </w:tr>
      <w:tr w:rsidR="00CD1DD1" w14:paraId="332E9E4A" w14:textId="77777777">
        <w:trPr>
          <w:trHeight w:val="1200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F92D2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lastRenderedPageBreak/>
              <w:t>CC</w:t>
            </w:r>
          </w:p>
          <w:p w14:paraId="7C408A5B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Muito elevado</w:t>
            </w:r>
          </w:p>
          <w:p w14:paraId="5308BFDD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Elevado</w:t>
            </w:r>
          </w:p>
          <w:p w14:paraId="11B57667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Normal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FD38" w14:textId="77777777" w:rsidR="00CD1DD1" w:rsidRPr="0006079F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</w:p>
          <w:p w14:paraId="0A7E4934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  <w:p w14:paraId="29CB0D1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6DC2AE0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A5D77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D0076E0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</w:t>
            </w:r>
          </w:p>
          <w:p w14:paraId="35DD1E4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13,3</w:t>
            </w:r>
          </w:p>
          <w:p w14:paraId="7EDF7EC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A0B5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F381D7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  <w:p w14:paraId="36D0272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6A7B5F8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CC61E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7191AF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92,9</w:t>
            </w:r>
          </w:p>
          <w:p w14:paraId="192CDDD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7,1</w:t>
            </w:r>
          </w:p>
          <w:p w14:paraId="6948104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50E9F" w14:textId="77777777" w:rsidR="00CD1DD1" w:rsidRDefault="00CD1DD1"/>
        </w:tc>
      </w:tr>
      <w:tr w:rsidR="00CD1DD1" w14:paraId="30E3010C" w14:textId="77777777">
        <w:trPr>
          <w:trHeight w:val="1200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3D0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CP</w:t>
            </w:r>
          </w:p>
          <w:p w14:paraId="78E0D53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Eutrofia</w:t>
            </w:r>
          </w:p>
          <w:p w14:paraId="646158A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Desnutrição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1FFD1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D0FBAE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  <w:p w14:paraId="6F82492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CFBBC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2925FB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93,3</w:t>
            </w:r>
          </w:p>
          <w:p w14:paraId="246E080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5EE20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BFCFA5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  <w:p w14:paraId="231CEF1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C24A3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4E6434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92,9</w:t>
            </w:r>
          </w:p>
          <w:p w14:paraId="40B0C2C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7,1</w:t>
            </w:r>
          </w:p>
          <w:p w14:paraId="582C4199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D8278" w14:textId="77777777" w:rsidR="00CD1DD1" w:rsidRDefault="00CD1DD1"/>
        </w:tc>
      </w:tr>
      <w:tr w:rsidR="00CD1DD1" w14:paraId="442E0946" w14:textId="77777777">
        <w:trPr>
          <w:trHeight w:val="1200"/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BFFD4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CB</w:t>
            </w:r>
          </w:p>
          <w:p w14:paraId="54823305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 xml:space="preserve">Desnutrição </w:t>
            </w:r>
          </w:p>
          <w:p w14:paraId="21EC19D7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Eutrofia</w:t>
            </w:r>
          </w:p>
          <w:p w14:paraId="79A80A78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Sobrepeso/Obesidade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694BB" w14:textId="77777777" w:rsidR="00CD1DD1" w:rsidRPr="0006079F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</w:p>
          <w:p w14:paraId="17A49C9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  <w:p w14:paraId="2117C10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  <w:p w14:paraId="27549BD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B0B00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B11E9E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  <w:p w14:paraId="1947E45E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66,7</w:t>
            </w:r>
          </w:p>
          <w:p w14:paraId="7610B79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147EB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110F7A3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02F8E60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  <w:p w14:paraId="219D952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ED842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86B2F2E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7,2</w:t>
            </w:r>
          </w:p>
          <w:p w14:paraId="42FE001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  <w:p w14:paraId="2555EF9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50BAE" w14:textId="77777777" w:rsidR="00CD1DD1" w:rsidRDefault="00CD1DD1"/>
        </w:tc>
      </w:tr>
      <w:tr w:rsidR="00CD1DD1" w14:paraId="4AAE900B" w14:textId="77777777">
        <w:trPr>
          <w:trHeight w:val="960"/>
          <w:jc w:val="center"/>
        </w:trPr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68E09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PCT</w:t>
            </w:r>
          </w:p>
          <w:p w14:paraId="2323AD50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 xml:space="preserve">Desnutrição </w:t>
            </w:r>
          </w:p>
          <w:p w14:paraId="2ABC98D3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Eutrofia</w:t>
            </w:r>
          </w:p>
          <w:p w14:paraId="203FAA6D" w14:textId="77777777" w:rsidR="00CD1DD1" w:rsidRPr="0006079F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06079F"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  <w:t>Sobrepeso/Obesidade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9CDEC" w14:textId="77777777" w:rsidR="00CD1DD1" w:rsidRPr="0006079F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pt-BR"/>
              </w:rPr>
            </w:pPr>
          </w:p>
          <w:p w14:paraId="6CDDA4A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  <w:p w14:paraId="0E02BDA4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  <w:p w14:paraId="1A31F2C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A961B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79D41E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46,6</w:t>
            </w:r>
          </w:p>
          <w:p w14:paraId="56F7232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26,7</w:t>
            </w:r>
          </w:p>
          <w:p w14:paraId="620D356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6E299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BEFDF2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  <w:p w14:paraId="3C5181C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  <w:p w14:paraId="1DECDDF4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9CA1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F848ECE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28,6</w:t>
            </w:r>
          </w:p>
          <w:p w14:paraId="6B671EC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42,8</w:t>
            </w:r>
          </w:p>
          <w:p w14:paraId="6E15472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28,6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7BBA6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DC69B5B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742D9E9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5D8CC04" w14:textId="77777777" w:rsidR="00CD1DD1" w:rsidRDefault="00CD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787" w:hanging="787"/>
        <w:rPr>
          <w:rFonts w:ascii="Calibri" w:eastAsia="Calibri" w:hAnsi="Calibri" w:cs="Calibri"/>
          <w:color w:val="000000"/>
          <w:sz w:val="22"/>
          <w:szCs w:val="22"/>
        </w:rPr>
        <w:sectPr w:rsidR="00CD1DD1">
          <w:type w:val="continuous"/>
          <w:pgSz w:w="11900" w:h="16840"/>
          <w:pgMar w:top="1418" w:right="1418" w:bottom="1418" w:left="1418" w:header="709" w:footer="709" w:gutter="0"/>
          <w:cols w:space="720"/>
        </w:sectPr>
      </w:pPr>
    </w:p>
    <w:p w14:paraId="09177D03" w14:textId="77777777" w:rsidR="00CD1DD1" w:rsidRDefault="00CD1DD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CD1DD1">
          <w:type w:val="continuous"/>
          <w:pgSz w:w="11900" w:h="16840"/>
          <w:pgMar w:top="1418" w:right="1418" w:bottom="1418" w:left="1418" w:header="709" w:footer="709" w:gutter="0"/>
          <w:cols w:space="720"/>
        </w:sectPr>
      </w:pPr>
    </w:p>
    <w:p w14:paraId="6523A179" w14:textId="77777777" w:rsidR="00CD1DD1" w:rsidRDefault="00CD1DD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2F68071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jc w:val="both"/>
        <w:rPr>
          <w:rFonts w:ascii="Arial" w:eastAsia="Arial" w:hAnsi="Arial" w:cs="Arial"/>
          <w:color w:val="000000"/>
          <w:lang w:val="pt-BR"/>
        </w:rPr>
        <w:sectPr w:rsidR="00CD1DD1" w:rsidRPr="0006079F">
          <w:type w:val="continuous"/>
          <w:pgSz w:w="11900" w:h="16840"/>
          <w:pgMar w:top="1418" w:right="1418" w:bottom="1418" w:left="1418" w:header="709" w:footer="709" w:gutter="0"/>
          <w:cols w:num="2" w:space="720" w:equalWidth="0">
            <w:col w:w="4172" w:space="720"/>
            <w:col w:w="4172" w:space="0"/>
          </w:cols>
        </w:sectPr>
      </w:pPr>
      <w:r w:rsidRPr="0006079F">
        <w:rPr>
          <w:rFonts w:ascii="Arial" w:eastAsia="Arial" w:hAnsi="Arial" w:cs="Arial"/>
          <w:color w:val="000000"/>
          <w:lang w:val="pt-BR"/>
        </w:rPr>
        <w:t xml:space="preserve">           A tabela 4 analisa o consumo alimentar da amostra, no que observou uma frequência de 80% (n=12) e 92,9%(n=13) para a ingestão regular de salada (&lt; 3 dias semanais) e 20% (n=3) e 7,1% (n=1) para o consumo inferior a três vezes por semana entre os</w:t>
      </w:r>
      <w:r w:rsidRPr="0006079F">
        <w:rPr>
          <w:rFonts w:ascii="Arial" w:eastAsia="Arial" w:hAnsi="Arial" w:cs="Arial"/>
          <w:color w:val="000000"/>
          <w:lang w:val="pt-BR"/>
        </w:rPr>
        <w:t xml:space="preserve"> grupos dos praticantes de exercício e não praticantes, respectivamente. O grupo dos alimentos industrializados, como refrigerantes e sucos artificiais, foi notificado como alimentos de baixo </w:t>
      </w:r>
      <w:r w:rsidRPr="0006079F">
        <w:rPr>
          <w:rFonts w:ascii="Arial" w:eastAsia="Arial" w:hAnsi="Arial" w:cs="Arial"/>
          <w:color w:val="000000"/>
          <w:lang w:val="pt-BR"/>
        </w:rPr>
        <w:t>consumo (&lt; 3 vezes por semana) ou a ingestão inexistente por 100</w:t>
      </w:r>
      <w:r w:rsidRPr="0006079F">
        <w:rPr>
          <w:rFonts w:ascii="Arial" w:eastAsia="Arial" w:hAnsi="Arial" w:cs="Arial"/>
          <w:color w:val="000000"/>
          <w:lang w:val="pt-BR"/>
        </w:rPr>
        <w:t xml:space="preserve">% dos participantes do G1, no G2, 21,4%(n=3) representou o consumo inferior a três dias e 78,6% (n=11) a ingestão superior a três dias por semana. O consumo de alimentos açucarados apresentou percentual de 40%(n=6) para a ingestão maior que três vezes por </w:t>
      </w:r>
      <w:r w:rsidRPr="0006079F">
        <w:rPr>
          <w:rFonts w:ascii="Arial" w:eastAsia="Arial" w:hAnsi="Arial" w:cs="Arial"/>
          <w:color w:val="000000"/>
          <w:lang w:val="pt-BR"/>
        </w:rPr>
        <w:t>semana no G1 e 50%(n=7) no G2, para a ingestão abaixo de três vezes semanais o G1 obteve a taxa de 60%(n=9) e 50%(n=7) no G2.</w:t>
      </w:r>
    </w:p>
    <w:p w14:paraId="65AA2E97" w14:textId="77777777" w:rsidR="00CD1DD1" w:rsidRPr="0006079F" w:rsidRDefault="00CD1DD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</w:p>
    <w:p w14:paraId="4CCA31E5" w14:textId="77777777" w:rsidR="00CD1DD1" w:rsidRDefault="00DA36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079F">
        <w:rPr>
          <w:rFonts w:ascii="Arial" w:eastAsia="Arial" w:hAnsi="Arial" w:cs="Arial"/>
          <w:b/>
          <w:color w:val="000000"/>
          <w:sz w:val="18"/>
          <w:szCs w:val="18"/>
          <w:lang w:val="pt-BR"/>
        </w:rPr>
        <w:t>Tabela 4.</w:t>
      </w:r>
      <w:r w:rsidRPr="0006079F">
        <w:rPr>
          <w:rFonts w:ascii="Arial" w:eastAsia="Arial" w:hAnsi="Arial" w:cs="Arial"/>
          <w:color w:val="000000"/>
          <w:sz w:val="18"/>
          <w:szCs w:val="18"/>
          <w:lang w:val="pt-BR"/>
        </w:rPr>
        <w:t xml:space="preserve"> Comparação do consumo alimentar entre os dois grupos estudados. </w:t>
      </w:r>
      <w:r>
        <w:rPr>
          <w:rFonts w:ascii="Arial" w:eastAsia="Arial" w:hAnsi="Arial" w:cs="Arial"/>
          <w:color w:val="000000"/>
          <w:sz w:val="18"/>
          <w:szCs w:val="18"/>
        </w:rPr>
        <w:t>Carpina, PE, 2018.</w:t>
      </w:r>
    </w:p>
    <w:tbl>
      <w:tblPr>
        <w:tblStyle w:val="a6"/>
        <w:tblW w:w="7886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145"/>
        <w:gridCol w:w="1504"/>
        <w:gridCol w:w="1319"/>
        <w:gridCol w:w="1650"/>
      </w:tblGrid>
      <w:tr w:rsidR="00CD1DD1" w14:paraId="344B23EC" w14:textId="77777777">
        <w:trPr>
          <w:trHeight w:val="280"/>
        </w:trPr>
        <w:tc>
          <w:tcPr>
            <w:tcW w:w="226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8EC4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Variáveis</w:t>
            </w:r>
          </w:p>
        </w:tc>
        <w:tc>
          <w:tcPr>
            <w:tcW w:w="264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580" w:type="dxa"/>
              <w:bottom w:w="80" w:type="dxa"/>
              <w:right w:w="80" w:type="dxa"/>
            </w:tcMar>
          </w:tcPr>
          <w:p w14:paraId="19BCD0E3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Grupo 1</w:t>
            </w:r>
          </w:p>
        </w:tc>
        <w:tc>
          <w:tcPr>
            <w:tcW w:w="296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580" w:type="dxa"/>
              <w:bottom w:w="80" w:type="dxa"/>
              <w:right w:w="80" w:type="dxa"/>
            </w:tcMar>
          </w:tcPr>
          <w:p w14:paraId="7BA6425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Grupo 2</w:t>
            </w:r>
          </w:p>
        </w:tc>
      </w:tr>
      <w:tr w:rsidR="00CD1DD1" w14:paraId="2B160CDA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DF05F" w14:textId="77777777" w:rsidR="00CD1DD1" w:rsidRDefault="00CD1DD1"/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B4BF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E52A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6415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6A9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(%)</w:t>
            </w:r>
          </w:p>
        </w:tc>
      </w:tr>
      <w:tr w:rsidR="00CD1DD1" w14:paraId="3065A736" w14:textId="77777777">
        <w:trPr>
          <w:trHeight w:val="240"/>
        </w:trPr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7C850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Feijão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C529E" w14:textId="77777777" w:rsidR="00CD1DD1" w:rsidRDefault="00CD1DD1"/>
        </w:tc>
        <w:tc>
          <w:tcPr>
            <w:tcW w:w="15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A6206" w14:textId="77777777" w:rsidR="00CD1DD1" w:rsidRDefault="00CD1DD1"/>
        </w:tc>
        <w:tc>
          <w:tcPr>
            <w:tcW w:w="13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F45DD" w14:textId="77777777" w:rsidR="00CD1DD1" w:rsidRDefault="00CD1DD1"/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80647" w14:textId="77777777" w:rsidR="00CD1DD1" w:rsidRDefault="00CD1DD1"/>
        </w:tc>
      </w:tr>
      <w:tr w:rsidR="00CD1DD1" w14:paraId="669638F4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C9F2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2818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FA9CE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73,3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1F92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16680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64,3</w:t>
            </w:r>
          </w:p>
        </w:tc>
      </w:tr>
      <w:tr w:rsidR="00CD1DD1" w14:paraId="79B3B0BF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3DD9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94B8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CAD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A896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61DD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35,7</w:t>
            </w:r>
          </w:p>
        </w:tc>
      </w:tr>
      <w:tr w:rsidR="00CD1DD1" w14:paraId="1F553C4F" w14:textId="77777777">
        <w:trPr>
          <w:trHeight w:val="4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81F3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2BD63D24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Salada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5D47" w14:textId="77777777" w:rsidR="00CD1DD1" w:rsidRDefault="00CD1DD1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B4668" w14:textId="77777777" w:rsidR="00CD1DD1" w:rsidRDefault="00CD1DD1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8E6E9" w14:textId="77777777" w:rsidR="00CD1DD1" w:rsidRDefault="00CD1DD1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F5E66" w14:textId="77777777" w:rsidR="00CD1DD1" w:rsidRDefault="00CD1DD1"/>
        </w:tc>
      </w:tr>
      <w:tr w:rsidR="00CD1DD1" w14:paraId="1BBC1CAA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7609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15C0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4EE0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B9EA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2B4B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92,9</w:t>
            </w:r>
          </w:p>
        </w:tc>
      </w:tr>
      <w:tr w:rsidR="00CD1DD1" w14:paraId="5DD4B5F4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4581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5066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3B49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526B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BAE2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7,1</w:t>
            </w:r>
          </w:p>
        </w:tc>
      </w:tr>
      <w:tr w:rsidR="00CD1DD1" w14:paraId="08BAD738" w14:textId="77777777">
        <w:trPr>
          <w:trHeight w:val="4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53CCA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509F87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Carne/Frango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E847D" w14:textId="77777777" w:rsidR="00CD1DD1" w:rsidRDefault="00CD1DD1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D8847" w14:textId="77777777" w:rsidR="00CD1DD1" w:rsidRDefault="00CD1DD1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1CF9A" w14:textId="77777777" w:rsidR="00CD1DD1" w:rsidRDefault="00CD1DD1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2F8C" w14:textId="77777777" w:rsidR="00CD1DD1" w:rsidRDefault="00CD1DD1"/>
        </w:tc>
      </w:tr>
      <w:tr w:rsidR="00CD1DD1" w14:paraId="5EEFF32D" w14:textId="77777777">
        <w:trPr>
          <w:trHeight w:val="2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F2C2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D9F7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BAD7E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86,7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B7EA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6E29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0</w:t>
            </w:r>
          </w:p>
        </w:tc>
      </w:tr>
      <w:tr w:rsidR="00CD1DD1" w14:paraId="77B9C766" w14:textId="77777777">
        <w:trPr>
          <w:trHeight w:val="3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0FF4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4EC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42C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52E5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E6D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100</w:t>
            </w:r>
          </w:p>
        </w:tc>
      </w:tr>
      <w:tr w:rsidR="00CD1DD1" w14:paraId="777A087F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38E5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Frutas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863DD" w14:textId="77777777" w:rsidR="00CD1DD1" w:rsidRDefault="00CD1DD1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C0154" w14:textId="77777777" w:rsidR="00CD1DD1" w:rsidRDefault="00CD1DD1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BF0DF" w14:textId="77777777" w:rsidR="00CD1DD1" w:rsidRDefault="00CD1DD1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4706F" w14:textId="77777777" w:rsidR="00CD1DD1" w:rsidRDefault="00CD1DD1"/>
        </w:tc>
      </w:tr>
      <w:tr w:rsidR="00CD1DD1" w14:paraId="3721DD90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4D67E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580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13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F87A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86,7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3A320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E8D4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57,1</w:t>
            </w:r>
          </w:p>
        </w:tc>
      </w:tr>
      <w:tr w:rsidR="00CD1DD1" w14:paraId="6F6E707A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C14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C336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BFCB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92B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9195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42,9</w:t>
            </w:r>
          </w:p>
        </w:tc>
      </w:tr>
      <w:tr w:rsidR="00CD1DD1" w14:paraId="2759B2F1" w14:textId="77777777">
        <w:trPr>
          <w:trHeight w:val="4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DEFE7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F496D3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Leite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00ABC" w14:textId="77777777" w:rsidR="00CD1DD1" w:rsidRDefault="00CD1DD1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89EC5" w14:textId="77777777" w:rsidR="00CD1DD1" w:rsidRDefault="00CD1DD1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C88E" w14:textId="77777777" w:rsidR="00CD1DD1" w:rsidRDefault="00CD1DD1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DB306" w14:textId="77777777" w:rsidR="00CD1DD1" w:rsidRDefault="00CD1DD1"/>
        </w:tc>
      </w:tr>
      <w:tr w:rsidR="00CD1DD1" w14:paraId="7D2B5E56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7F2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4A61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5105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155E4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8D5B4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CD1DD1" w14:paraId="28B70317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F0481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C74B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5B479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53,3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9375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AC9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CD1DD1" w14:paraId="7541ABCC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E4D2B" w14:textId="77777777" w:rsidR="00CD1DD1" w:rsidRDefault="00CD1DD1"/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32CDC" w14:textId="77777777" w:rsidR="00CD1DD1" w:rsidRDefault="00CD1DD1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CBD48" w14:textId="77777777" w:rsidR="00CD1DD1" w:rsidRDefault="00CD1DD1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61FF7" w14:textId="77777777" w:rsidR="00CD1DD1" w:rsidRDefault="00CD1DD1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51209" w14:textId="77777777" w:rsidR="00CD1DD1" w:rsidRDefault="00CD1DD1"/>
        </w:tc>
      </w:tr>
      <w:tr w:rsidR="00CD1DD1" w14:paraId="12A503E0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8AAB7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Refrigerante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A2731" w14:textId="77777777" w:rsidR="00CD1DD1" w:rsidRDefault="00CD1DD1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E4E41" w14:textId="77777777" w:rsidR="00CD1DD1" w:rsidRDefault="00CD1DD1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CEA15" w14:textId="77777777" w:rsidR="00CD1DD1" w:rsidRDefault="00CD1DD1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F2A1" w14:textId="77777777" w:rsidR="00CD1DD1" w:rsidRDefault="00CD1DD1"/>
        </w:tc>
      </w:tr>
      <w:tr w:rsidR="00CD1DD1" w14:paraId="70359579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65B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5FAC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3369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2B1A0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50E6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21,4</w:t>
            </w:r>
          </w:p>
        </w:tc>
      </w:tr>
      <w:tr w:rsidR="00CD1DD1" w14:paraId="292C4CFB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34E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F263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9D5B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876C5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11A58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78,6</w:t>
            </w:r>
          </w:p>
        </w:tc>
      </w:tr>
      <w:tr w:rsidR="00CD1DD1" w14:paraId="42060972" w14:textId="77777777">
        <w:trPr>
          <w:trHeight w:val="4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1F6B4" w14:textId="77777777" w:rsidR="00CD1DD1" w:rsidRDefault="00CD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1B20FB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Doces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28FEB" w14:textId="77777777" w:rsidR="00CD1DD1" w:rsidRDefault="00CD1DD1"/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7DE12" w14:textId="77777777" w:rsidR="00CD1DD1" w:rsidRDefault="00CD1DD1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F3F1E" w14:textId="77777777" w:rsidR="00CD1DD1" w:rsidRDefault="00CD1DD1"/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2EED" w14:textId="77777777" w:rsidR="00CD1DD1" w:rsidRDefault="00CD1DD1"/>
        </w:tc>
      </w:tr>
      <w:tr w:rsidR="00CD1DD1" w14:paraId="4C879F27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541F6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07B9E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342FA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3DEC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D5D0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CD1DD1" w14:paraId="4CC89706" w14:textId="77777777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1766F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&lt;3 dias na semana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3CF2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3C15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E087D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89F6B" w14:textId="77777777" w:rsidR="00CD1DD1" w:rsidRDefault="00DA3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</w:p>
        </w:tc>
      </w:tr>
    </w:tbl>
    <w:p w14:paraId="4656A223" w14:textId="77777777" w:rsidR="00CD1DD1" w:rsidRDefault="00CD1D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496F435" w14:textId="77777777" w:rsidR="00CD1DD1" w:rsidRDefault="00CD1DD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b/>
          <w:color w:val="000000"/>
        </w:rPr>
        <w:sectPr w:rsidR="00CD1DD1">
          <w:type w:val="continuous"/>
          <w:pgSz w:w="11900" w:h="16840"/>
          <w:pgMar w:top="1418" w:right="1418" w:bottom="1418" w:left="1418" w:header="709" w:footer="709" w:gutter="0"/>
          <w:cols w:space="720"/>
        </w:sectPr>
      </w:pPr>
    </w:p>
    <w:p w14:paraId="2E23406A" w14:textId="77777777" w:rsidR="00CD1DD1" w:rsidRDefault="00CD1DD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196AEDF7" w14:textId="77777777" w:rsidR="00CD1DD1" w:rsidRDefault="00DA36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DISCUSSÃO</w:t>
      </w:r>
    </w:p>
    <w:p w14:paraId="3637CCD6" w14:textId="33065A74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06079F">
        <w:rPr>
          <w:rFonts w:ascii="Calibri" w:eastAsia="Calibri" w:hAnsi="Calibri" w:cs="Calibri"/>
          <w:color w:val="000000"/>
          <w:sz w:val="22"/>
          <w:szCs w:val="22"/>
          <w:lang w:val="pt-BR"/>
        </w:rPr>
        <w:tab/>
      </w:r>
      <w:r w:rsidRPr="0006079F">
        <w:rPr>
          <w:rFonts w:ascii="Arial" w:eastAsia="Arial" w:hAnsi="Arial" w:cs="Arial"/>
          <w:color w:val="000000"/>
          <w:lang w:val="pt-BR"/>
        </w:rPr>
        <w:t xml:space="preserve">O presente estudo envolveu a coleta de dados relacionados à antropometria como método de avaliar a composição corporal e o padrão alimentar dos integrantes assistidos em </w:t>
      </w:r>
      <w:r w:rsidRPr="0006079F">
        <w:rPr>
          <w:rFonts w:ascii="Arial" w:eastAsia="Arial" w:hAnsi="Arial" w:cs="Arial"/>
          <w:color w:val="000000"/>
          <w:lang w:val="pt-BR"/>
        </w:rPr>
        <w:t>Unidades Básicas de Saúde de uma cidade do interior de Pernambuco. Acerca d</w:t>
      </w:r>
      <w:r w:rsidRPr="0006079F">
        <w:rPr>
          <w:rFonts w:ascii="Arial" w:eastAsia="Arial" w:hAnsi="Arial" w:cs="Arial"/>
          <w:color w:val="000000"/>
          <w:lang w:val="pt-BR"/>
        </w:rPr>
        <w:t xml:space="preserve">os parâmetros socioeconômicos e clínicos, houve predomínio de idosos do gênero feminino (75,8%) e esse resultado corrobora com as análises de Dórea, Manochia-Pina &amp; Santos (2015) que </w:t>
      </w:r>
      <w:r w:rsidRPr="0006079F">
        <w:rPr>
          <w:rFonts w:ascii="Arial" w:eastAsia="Arial" w:hAnsi="Arial" w:cs="Arial"/>
          <w:color w:val="000000"/>
          <w:lang w:val="pt-BR"/>
        </w:rPr>
        <w:lastRenderedPageBreak/>
        <w:t>verificou os aspectos nutricionais de idosos praticantes de atividade fís</w:t>
      </w:r>
      <w:r w:rsidRPr="0006079F">
        <w:rPr>
          <w:rFonts w:ascii="Arial" w:eastAsia="Arial" w:hAnsi="Arial" w:cs="Arial"/>
          <w:color w:val="000000"/>
          <w:lang w:val="pt-BR"/>
        </w:rPr>
        <w:t>ica e encontrou maior prevalência</w:t>
      </w:r>
      <w:r w:rsidRPr="0006079F">
        <w:rPr>
          <w:rFonts w:ascii="Arial" w:eastAsia="Arial" w:hAnsi="Arial" w:cs="Arial"/>
          <w:color w:val="000000"/>
          <w:lang w:val="pt-BR"/>
        </w:rPr>
        <w:t xml:space="preserve"> de indivíduos do sexo feminino. Além disto, trata-se de uma amostra predominante de baixa renda e escolaridade, tornando esses indivíduos mais susceptíveis a ocorrência de doenças crônicas não transmissíveis (DCNT), além d</w:t>
      </w:r>
      <w:r w:rsidRPr="0006079F">
        <w:rPr>
          <w:rFonts w:ascii="Arial" w:eastAsia="Arial" w:hAnsi="Arial" w:cs="Arial"/>
          <w:color w:val="000000"/>
          <w:lang w:val="pt-BR"/>
        </w:rPr>
        <w:t>a maior idade, que é um importante fator de risco, já confirmado por Pimenta et al. (2015) e Scherer et al. (2013).</w:t>
      </w:r>
    </w:p>
    <w:p w14:paraId="15B9F8C0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06079F">
        <w:rPr>
          <w:rFonts w:ascii="Calibri" w:eastAsia="Calibri" w:hAnsi="Calibri" w:cs="Calibri"/>
          <w:color w:val="000000"/>
          <w:sz w:val="22"/>
          <w:szCs w:val="22"/>
          <w:lang w:val="pt-BR"/>
        </w:rPr>
        <w:tab/>
      </w:r>
      <w:r w:rsidRPr="0006079F">
        <w:rPr>
          <w:rFonts w:ascii="Arial" w:eastAsia="Arial" w:hAnsi="Arial" w:cs="Arial"/>
          <w:color w:val="000000"/>
          <w:lang w:val="pt-BR"/>
        </w:rPr>
        <w:t>No presente estudo, o G1 caracterizado pela prática regular de exercício físico, apresentou média do IMC mais próxima aos valores de referê</w:t>
      </w:r>
      <w:r w:rsidRPr="0006079F">
        <w:rPr>
          <w:rFonts w:ascii="Arial" w:eastAsia="Arial" w:hAnsi="Arial" w:cs="Arial"/>
          <w:color w:val="000000"/>
          <w:lang w:val="pt-BR"/>
        </w:rPr>
        <w:t>ncia proposto por Lipschitz e mais baixo que o G2 (sedentários), concordando com os achados de Silva, Rombaldi &amp; Campos (2010), que também encontrou uma redução do IMC em sujeitos com faixa etária superior a 50 anos, que praticavam exercícios aeróbicos reg</w:t>
      </w:r>
      <w:r w:rsidRPr="0006079F">
        <w:rPr>
          <w:rFonts w:ascii="Arial" w:eastAsia="Arial" w:hAnsi="Arial" w:cs="Arial"/>
          <w:color w:val="000000"/>
          <w:lang w:val="pt-BR"/>
        </w:rPr>
        <w:t xml:space="preserve">ulares. </w:t>
      </w:r>
    </w:p>
    <w:p w14:paraId="1A888A69" w14:textId="42FAC5CF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06079F">
        <w:rPr>
          <w:rFonts w:ascii="Calibri" w:eastAsia="Calibri" w:hAnsi="Calibri" w:cs="Calibri"/>
          <w:color w:val="000000"/>
          <w:sz w:val="22"/>
          <w:szCs w:val="22"/>
          <w:lang w:val="pt-BR"/>
        </w:rPr>
        <w:tab/>
      </w:r>
      <w:r w:rsidRPr="0006079F">
        <w:rPr>
          <w:rFonts w:ascii="Arial" w:eastAsia="Arial" w:hAnsi="Arial" w:cs="Arial"/>
          <w:color w:val="000000"/>
          <w:lang w:val="pt-BR"/>
        </w:rPr>
        <w:t>Avaliando a circunferência da cintura observou-se, em ambos os grupos, médias que excedem os valores de referência preconizado pela OMS (1998), porém a média do grupo praticante de atividade física mostrou-se menor que a do não praticante. Esses resultados</w:t>
      </w:r>
      <w:r w:rsidRPr="0006079F">
        <w:rPr>
          <w:rFonts w:ascii="Arial" w:eastAsia="Arial" w:hAnsi="Arial" w:cs="Arial"/>
          <w:color w:val="000000"/>
          <w:lang w:val="pt-BR"/>
        </w:rPr>
        <w:t xml:space="preserve"> foram semelhantes </w:t>
      </w:r>
      <w:r w:rsidRPr="0006079F">
        <w:rPr>
          <w:rFonts w:ascii="Arial" w:eastAsia="Arial" w:hAnsi="Arial" w:cs="Arial"/>
          <w:color w:val="000000"/>
          <w:lang w:val="pt-BR"/>
        </w:rPr>
        <w:t>aos apresentados por Nascimento et al. (2017) que indica um aumento da CC em mulheres idosas fisicamente ativas com excesso de peso e, também, por aquelas classificadas</w:t>
      </w:r>
      <w:r w:rsidRPr="0006079F">
        <w:rPr>
          <w:rFonts w:ascii="Arial" w:eastAsia="Arial" w:hAnsi="Arial" w:cs="Arial"/>
          <w:color w:val="000000"/>
          <w:lang w:val="pt-BR"/>
        </w:rPr>
        <w:t xml:space="preserve"> como eutróficas ao comparar a concordância de critérios à classificaç</w:t>
      </w:r>
      <w:r w:rsidRPr="0006079F">
        <w:rPr>
          <w:rFonts w:ascii="Arial" w:eastAsia="Arial" w:hAnsi="Arial" w:cs="Arial"/>
          <w:color w:val="000000"/>
          <w:lang w:val="pt-BR"/>
        </w:rPr>
        <w:t>ão do IMC de idosas fisicamente ativas. Já Silveira, Vieira &amp; Souza (2018), constatou a elevação desta medida por parte dos idosos do sexo masculino ao avaliar a prevalência de obesidade abdominal em idosos associada a diabetes, hipertensão arterial e doen</w:t>
      </w:r>
      <w:r w:rsidRPr="0006079F">
        <w:rPr>
          <w:rFonts w:ascii="Arial" w:eastAsia="Arial" w:hAnsi="Arial" w:cs="Arial"/>
          <w:color w:val="000000"/>
          <w:lang w:val="pt-BR"/>
        </w:rPr>
        <w:t xml:space="preserve">ças respiratórias. </w:t>
      </w:r>
    </w:p>
    <w:p w14:paraId="03329B84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ab/>
        <w:t xml:space="preserve">A circunferência da panturrilha, permite detectar a depleção de massa muscular. Na mensuração desta medida, foi possível identificar que não houve diferença estatística entre os grupos, sendo a maior parte da amostra classificada como </w:t>
      </w:r>
      <w:r w:rsidRPr="0006079F">
        <w:rPr>
          <w:rFonts w:ascii="Arial" w:eastAsia="Arial" w:hAnsi="Arial" w:cs="Arial"/>
          <w:color w:val="000000"/>
          <w:lang w:val="pt-BR"/>
        </w:rPr>
        <w:t xml:space="preserve">eutrofia por esse parâmetro. </w:t>
      </w:r>
    </w:p>
    <w:p w14:paraId="4784C15D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ab/>
        <w:t>Analisando a PCT, nota-se uma maior classificação de indivíduos categoricamente com excesso de peso no G2, sendo a maior parte desse grupo constituído de mulheres. Machado, Coelho &amp; Coelho (2010) comprovou através da avaliaçã</w:t>
      </w:r>
      <w:r w:rsidRPr="0006079F">
        <w:rPr>
          <w:rFonts w:ascii="Arial" w:eastAsia="Arial" w:hAnsi="Arial" w:cs="Arial"/>
          <w:color w:val="000000"/>
          <w:lang w:val="pt-BR"/>
        </w:rPr>
        <w:t xml:space="preserve">o e comparação entre três métodos de estimativa do percentual de gordura corporal que mulheres tendem a </w:t>
      </w:r>
      <w:r w:rsidRPr="0006079F">
        <w:rPr>
          <w:rFonts w:ascii="Arial" w:eastAsia="Arial" w:hAnsi="Arial" w:cs="Arial"/>
          <w:color w:val="000000"/>
          <w:lang w:val="pt-BR"/>
        </w:rPr>
        <w:lastRenderedPageBreak/>
        <w:t xml:space="preserve">apresentar a média desta medida cerca de 2 vezes maior que o sexo masculino. </w:t>
      </w:r>
    </w:p>
    <w:p w14:paraId="4AFADF49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ab/>
        <w:t>A avaliação do consumo alimentar descritos no presente estudo, permitiu a</w:t>
      </w:r>
      <w:r w:rsidRPr="0006079F">
        <w:rPr>
          <w:rFonts w:ascii="Arial" w:eastAsia="Arial" w:hAnsi="Arial" w:cs="Arial"/>
          <w:color w:val="000000"/>
          <w:lang w:val="pt-BR"/>
        </w:rPr>
        <w:t>nalisar a ingestão dos principais grupos de alimentos e identificar uma correlação com a composição corporal dos idosos que praticam e não praticam exercício físico e as principais escolhas alimentares por estes grupos. A frequência de consumo dos alimento</w:t>
      </w:r>
      <w:r w:rsidRPr="0006079F">
        <w:rPr>
          <w:rFonts w:ascii="Arial" w:eastAsia="Arial" w:hAnsi="Arial" w:cs="Arial"/>
          <w:color w:val="000000"/>
          <w:lang w:val="pt-BR"/>
        </w:rPr>
        <w:t>s referidos pelos idosos, apresentou semelhança aos achados de Beledelli &amp;Santolin (2018), que avaliou a ingestão alimentar de praticantes de pilates em uma academia do Rio Grande do Sul, relatando uma prevalência de consumo diário de salada e uso de doces</w:t>
      </w:r>
      <w:r w:rsidRPr="0006079F">
        <w:rPr>
          <w:rFonts w:ascii="Arial" w:eastAsia="Arial" w:hAnsi="Arial" w:cs="Arial"/>
          <w:color w:val="000000"/>
          <w:lang w:val="pt-BR"/>
        </w:rPr>
        <w:t xml:space="preserve"> e refrigerante, entre 1 a 2x/s ou eventualmente. </w:t>
      </w:r>
    </w:p>
    <w:p w14:paraId="1554BD7A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ab/>
        <w:t>O consumo de alimentos ricos em gorduras e açucares e a ingestão de alimentos citados como balanceados por Souza et al. (2016) que estabeleceu o padrão alimentar de idosos e sua caracterização e associaçã</w:t>
      </w:r>
      <w:r w:rsidRPr="0006079F">
        <w:rPr>
          <w:rFonts w:ascii="Arial" w:eastAsia="Arial" w:hAnsi="Arial" w:cs="Arial"/>
          <w:color w:val="000000"/>
          <w:lang w:val="pt-BR"/>
        </w:rPr>
        <w:t>o com os aspectos socioeconômicos, apresentou alta incidência na frequência alimentar por parte da amostra, corroborando com os resultados aqui obtidos, que observa a ingestão de salada com frequência maior que três vezes por semana entre o G1 e G2, entret</w:t>
      </w:r>
      <w:r w:rsidRPr="0006079F">
        <w:rPr>
          <w:rFonts w:ascii="Arial" w:eastAsia="Arial" w:hAnsi="Arial" w:cs="Arial"/>
          <w:color w:val="000000"/>
          <w:lang w:val="pt-BR"/>
        </w:rPr>
        <w:t xml:space="preserve">anto, o </w:t>
      </w:r>
      <w:r w:rsidRPr="0006079F">
        <w:rPr>
          <w:rFonts w:ascii="Arial" w:eastAsia="Arial" w:hAnsi="Arial" w:cs="Arial"/>
          <w:color w:val="000000"/>
          <w:lang w:val="pt-BR"/>
        </w:rPr>
        <w:t xml:space="preserve">consumo de doces e refrigerantes no G2, são considerados com frequência maior que três vezes na semana comparados ao percentual presente no G1. </w:t>
      </w:r>
    </w:p>
    <w:p w14:paraId="6EF5AF82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06079F">
        <w:rPr>
          <w:rFonts w:ascii="Arial" w:eastAsia="Arial" w:hAnsi="Arial" w:cs="Arial"/>
          <w:b/>
          <w:color w:val="000000"/>
          <w:lang w:val="pt-BR"/>
        </w:rPr>
        <w:t xml:space="preserve">CONCLUSÃO </w:t>
      </w:r>
    </w:p>
    <w:p w14:paraId="625B0549" w14:textId="77777777" w:rsidR="00CD1DD1" w:rsidRPr="0006079F" w:rsidRDefault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06079F">
        <w:rPr>
          <w:rFonts w:ascii="Arial" w:eastAsia="Arial" w:hAnsi="Arial" w:cs="Arial"/>
          <w:b/>
          <w:color w:val="000000"/>
          <w:lang w:val="pt-BR"/>
        </w:rPr>
        <w:tab/>
      </w:r>
      <w:r w:rsidRPr="0006079F">
        <w:rPr>
          <w:rFonts w:ascii="Arial" w:eastAsia="Arial" w:hAnsi="Arial" w:cs="Arial"/>
          <w:color w:val="000000"/>
          <w:lang w:val="pt-BR"/>
        </w:rPr>
        <w:t>Verificamos, no presente estudo, que a combinação entre a atividade física ou a inatividade</w:t>
      </w:r>
      <w:r w:rsidRPr="0006079F">
        <w:rPr>
          <w:rFonts w:ascii="Arial" w:eastAsia="Arial" w:hAnsi="Arial" w:cs="Arial"/>
          <w:color w:val="000000"/>
          <w:lang w:val="pt-BR"/>
        </w:rPr>
        <w:t xml:space="preserve"> e a alimentação pode ocasionar ao indivíduo alterações na composição corporal, podendo atuar, positiva ou negativamente, nas modificações presentes no processo de envelhecimento. Indivíduos praticantes de atividade física apresentam medidas corpóreas mais</w:t>
      </w:r>
      <w:r w:rsidRPr="0006079F">
        <w:rPr>
          <w:rFonts w:ascii="Arial" w:eastAsia="Arial" w:hAnsi="Arial" w:cs="Arial"/>
          <w:color w:val="000000"/>
          <w:lang w:val="pt-BR"/>
        </w:rPr>
        <w:t xml:space="preserve"> próximas as recomendações propostas pelas organizações e sociedade responsáveis, assim, como apresentam preferencias alimentares mais naturais, optando por alimentos mais integrais quando comparado ao grupo dos não praticantes.</w:t>
      </w:r>
    </w:p>
    <w:p w14:paraId="4DCCA4E7" w14:textId="3667EECE" w:rsidR="00CD1DD1" w:rsidRDefault="00DA361C" w:rsidP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06079F">
        <w:rPr>
          <w:rFonts w:ascii="Arial" w:eastAsia="Arial" w:hAnsi="Arial" w:cs="Arial"/>
          <w:color w:val="000000"/>
          <w:lang w:val="pt-BR"/>
        </w:rPr>
        <w:tab/>
        <w:t>A alimentação saudável ass</w:t>
      </w:r>
      <w:r w:rsidRPr="0006079F">
        <w:rPr>
          <w:rFonts w:ascii="Arial" w:eastAsia="Arial" w:hAnsi="Arial" w:cs="Arial"/>
          <w:color w:val="000000"/>
          <w:lang w:val="pt-BR"/>
        </w:rPr>
        <w:t xml:space="preserve">ociada a </w:t>
      </w:r>
      <w:r w:rsidR="00295B92" w:rsidRPr="0006079F">
        <w:rPr>
          <w:rFonts w:ascii="Arial" w:eastAsia="Arial" w:hAnsi="Arial" w:cs="Arial"/>
          <w:color w:val="000000"/>
          <w:lang w:val="pt-BR"/>
        </w:rPr>
        <w:t>prática</w:t>
      </w:r>
      <w:r w:rsidRPr="0006079F">
        <w:rPr>
          <w:rFonts w:ascii="Arial" w:eastAsia="Arial" w:hAnsi="Arial" w:cs="Arial"/>
          <w:color w:val="000000"/>
          <w:lang w:val="pt-BR"/>
        </w:rPr>
        <w:t xml:space="preserve"> de </w:t>
      </w:r>
      <w:r w:rsidR="00295B92" w:rsidRPr="0006079F">
        <w:rPr>
          <w:rFonts w:ascii="Arial" w:eastAsia="Arial" w:hAnsi="Arial" w:cs="Arial"/>
          <w:color w:val="000000"/>
          <w:lang w:val="pt-BR"/>
        </w:rPr>
        <w:t>exercício</w:t>
      </w:r>
      <w:r w:rsidRPr="0006079F">
        <w:rPr>
          <w:rFonts w:ascii="Arial" w:eastAsia="Arial" w:hAnsi="Arial" w:cs="Arial"/>
          <w:color w:val="000000"/>
          <w:lang w:val="pt-BR"/>
        </w:rPr>
        <w:t xml:space="preserve"> físico regular, deve ser estimulado nos idosos, pois além de contribuir para a melhora da composição corporal, auxiliará na prevenção e tratamento de doenças, bem como a manutenção da independência desses indivíduos.</w:t>
      </w:r>
    </w:p>
    <w:p w14:paraId="4C412515" w14:textId="77777777" w:rsidR="00DA361C" w:rsidRPr="00DA361C" w:rsidRDefault="00DA361C" w:rsidP="00DA361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</w:p>
    <w:p w14:paraId="3EDF05B0" w14:textId="77777777" w:rsidR="00CD1DD1" w:rsidRPr="0006079F" w:rsidRDefault="00DA361C">
      <w:pPr>
        <w:jc w:val="both"/>
        <w:rPr>
          <w:rFonts w:ascii="Arial" w:eastAsia="Arial" w:hAnsi="Arial" w:cs="Arial"/>
          <w:b/>
          <w:color w:val="000000"/>
          <w:lang w:val="pt-BR"/>
        </w:rPr>
      </w:pPr>
      <w:r w:rsidRPr="0006079F">
        <w:rPr>
          <w:rFonts w:ascii="Arial" w:eastAsia="Arial" w:hAnsi="Arial" w:cs="Arial"/>
          <w:b/>
          <w:color w:val="000000"/>
          <w:lang w:val="pt-BR"/>
        </w:rPr>
        <w:lastRenderedPageBreak/>
        <w:t xml:space="preserve">REFERÊNCIAS </w:t>
      </w:r>
    </w:p>
    <w:p w14:paraId="0CEA0DA1" w14:textId="77777777" w:rsidR="00CD1DD1" w:rsidRPr="0006079F" w:rsidRDefault="00CD1DD1">
      <w:pPr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0A19810E" w14:textId="77777777" w:rsidR="00CD1DD1" w:rsidRPr="0006079F" w:rsidRDefault="00CD1DD1">
      <w:pPr>
        <w:jc w:val="both"/>
        <w:rPr>
          <w:rFonts w:ascii="Arial" w:eastAsia="Arial" w:hAnsi="Arial" w:cs="Arial"/>
          <w:b/>
          <w:lang w:val="pt-BR"/>
        </w:rPr>
      </w:pPr>
    </w:p>
    <w:p w14:paraId="0F78A5F8" w14:textId="77777777" w:rsidR="00CD1DD1" w:rsidRPr="0006079F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 w:rsidRPr="0006079F">
        <w:rPr>
          <w:rFonts w:ascii="Arial" w:eastAsia="Arial" w:hAnsi="Arial" w:cs="Arial"/>
          <w:highlight w:val="white"/>
          <w:lang w:val="pt-BR"/>
        </w:rPr>
        <w:t xml:space="preserve">1-ALMEIDA, D. K. S.; SILVA, F. O. C. </w:t>
      </w:r>
      <w:r w:rsidRPr="0006079F">
        <w:rPr>
          <w:rFonts w:ascii="Arial" w:eastAsia="Arial" w:hAnsi="Arial" w:cs="Arial"/>
          <w:lang w:val="pt-BR"/>
        </w:rPr>
        <w:t xml:space="preserve">A função muscular e a composição corporal na qualidade de vida do idoso: efeitos de um programa de 8 semanas de treinamento combinado. </w:t>
      </w:r>
      <w:r w:rsidRPr="0006079F">
        <w:rPr>
          <w:rFonts w:ascii="Arial" w:eastAsia="Arial" w:hAnsi="Arial" w:cs="Arial"/>
          <w:b/>
          <w:lang w:val="pt-BR"/>
        </w:rPr>
        <w:t xml:space="preserve">Revista Brasileira de Prescrição e Fisiologia do Exercício. </w:t>
      </w:r>
      <w:r w:rsidRPr="0006079F">
        <w:rPr>
          <w:rFonts w:ascii="Arial" w:eastAsia="Arial" w:hAnsi="Arial" w:cs="Arial"/>
          <w:lang w:val="pt-BR"/>
        </w:rPr>
        <w:t>São Paulo</w:t>
      </w:r>
      <w:r w:rsidRPr="0006079F">
        <w:rPr>
          <w:rFonts w:ascii="Arial" w:eastAsia="Arial" w:hAnsi="Arial" w:cs="Arial"/>
          <w:lang w:val="pt-BR"/>
        </w:rPr>
        <w:t>,</w:t>
      </w:r>
      <w:r w:rsidRPr="0006079F">
        <w:rPr>
          <w:rFonts w:ascii="Arial" w:eastAsia="Arial" w:hAnsi="Arial" w:cs="Arial"/>
          <w:b/>
          <w:lang w:val="pt-BR"/>
        </w:rPr>
        <w:t xml:space="preserve"> </w:t>
      </w:r>
      <w:r w:rsidRPr="0006079F">
        <w:rPr>
          <w:rFonts w:ascii="Arial" w:eastAsia="Arial" w:hAnsi="Arial" w:cs="Arial"/>
          <w:lang w:val="pt-BR"/>
        </w:rPr>
        <w:t>v. 10, n. 60, p. 504-510, 2016.</w:t>
      </w:r>
    </w:p>
    <w:p w14:paraId="2283D132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</w:p>
    <w:p w14:paraId="4B6201AE" w14:textId="50164BD1" w:rsidR="00CD1DD1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 w:rsidRPr="0006079F">
        <w:rPr>
          <w:rFonts w:ascii="Arial" w:eastAsia="Arial" w:hAnsi="Arial" w:cs="Arial"/>
          <w:highlight w:val="white"/>
          <w:lang w:val="pt-BR"/>
        </w:rPr>
        <w:t>2-BELEDELLI, S.</w:t>
      </w:r>
      <w:r w:rsidRPr="0006079F">
        <w:rPr>
          <w:rFonts w:ascii="Arial" w:eastAsia="Arial" w:hAnsi="Arial" w:cs="Arial"/>
          <w:lang w:val="pt-BR"/>
        </w:rPr>
        <w:t>; SANTOLIN, M. Avaliação da ingestão alimentar de praticantes de pilates em uma academia do norte do rio grande do sul antes e após a aplicação dos dez passos da alimentação saudável e dez passos da aliment</w:t>
      </w:r>
      <w:r w:rsidRPr="0006079F">
        <w:rPr>
          <w:rFonts w:ascii="Arial" w:eastAsia="Arial" w:hAnsi="Arial" w:cs="Arial"/>
          <w:lang w:val="pt-BR"/>
        </w:rPr>
        <w:t xml:space="preserve">ação adequada e saudável. </w:t>
      </w:r>
      <w:r w:rsidRPr="0006079F">
        <w:rPr>
          <w:rFonts w:ascii="Arial" w:eastAsia="Arial" w:hAnsi="Arial" w:cs="Arial"/>
          <w:b/>
          <w:lang w:val="pt-BR"/>
        </w:rPr>
        <w:t xml:space="preserve">Revista Brasileira de Nutrição Esportiva. </w:t>
      </w:r>
      <w:r w:rsidRPr="0006079F">
        <w:rPr>
          <w:rFonts w:ascii="Arial" w:eastAsia="Arial" w:hAnsi="Arial" w:cs="Arial"/>
          <w:lang w:val="pt-BR"/>
        </w:rPr>
        <w:t>São Paulo. v. 12, n. 70, p. 185-194, 2018.</w:t>
      </w:r>
    </w:p>
    <w:p w14:paraId="02676932" w14:textId="543B5597" w:rsidR="00295B92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</w:p>
    <w:p w14:paraId="034F6511" w14:textId="705F0886" w:rsidR="00295B92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 w:rsidRPr="00DA361C">
        <w:rPr>
          <w:rFonts w:ascii="Arial" w:eastAsia="Arial" w:hAnsi="Arial" w:cs="Arial"/>
          <w:lang w:val="pt-BR"/>
        </w:rPr>
        <w:t>3-</w:t>
      </w:r>
      <w:r w:rsidR="00DA361C" w:rsidRPr="00DA361C">
        <w:rPr>
          <w:lang w:val="pt-BR"/>
        </w:rPr>
        <w:t xml:space="preserve"> </w:t>
      </w:r>
      <w:r w:rsidR="00DA361C" w:rsidRPr="00DA361C">
        <w:rPr>
          <w:rFonts w:ascii="Arial" w:hAnsi="Arial" w:cs="Arial"/>
          <w:lang w:val="pt-BR"/>
        </w:rPr>
        <w:t xml:space="preserve">Brasil. Ministério da Saúde. Secretaria de Vigilância em Saúde. Departamento de Doenças e Agravos não transmissíveis e Promoção da Saúde. Vigilância de Fatores de Risco e Proteção para Doenças Crônicas por Inquérito Telefônico, Vigitel 2013. </w:t>
      </w:r>
      <w:r w:rsidR="00DA361C" w:rsidRPr="00DA361C">
        <w:rPr>
          <w:rFonts w:ascii="Arial" w:hAnsi="Arial" w:cs="Arial"/>
        </w:rPr>
        <w:t>Brasília: Ministério da Saúde; 2014. 164 p.</w:t>
      </w:r>
    </w:p>
    <w:p w14:paraId="08D6EFB3" w14:textId="77777777" w:rsidR="00DA361C" w:rsidRPr="00295B92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es-ES"/>
        </w:rPr>
      </w:pPr>
    </w:p>
    <w:p w14:paraId="09E74B8D" w14:textId="64AF77CC" w:rsidR="00CD1DD1" w:rsidRPr="0006079F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highlight w:val="white"/>
          <w:lang w:val="pt-BR"/>
        </w:rPr>
      </w:pPr>
      <w:r>
        <w:rPr>
          <w:rFonts w:ascii="Arial" w:eastAsia="Arial" w:hAnsi="Arial" w:cs="Arial"/>
          <w:highlight w:val="white"/>
          <w:lang w:val="es-ES"/>
        </w:rPr>
        <w:t>4</w:t>
      </w:r>
      <w:r w:rsidR="00DA361C" w:rsidRPr="0006079F">
        <w:rPr>
          <w:rFonts w:ascii="Arial" w:eastAsia="Arial" w:hAnsi="Arial" w:cs="Arial"/>
          <w:highlight w:val="white"/>
          <w:lang w:val="es-ES"/>
        </w:rPr>
        <w:t>-CHAVES, L.R. et al. </w:t>
      </w:r>
      <w:r w:rsidR="00DA361C" w:rsidRPr="0006079F">
        <w:rPr>
          <w:rFonts w:ascii="Arial" w:eastAsia="Arial" w:hAnsi="Arial" w:cs="Arial"/>
          <w:highlight w:val="white"/>
          <w:lang w:val="pt-BR"/>
        </w:rPr>
        <w:t>Estado Nutricional e consumo alimentar de idosos assistidos na estratégia saúde da família. </w:t>
      </w:r>
      <w:r w:rsidR="00DA361C" w:rsidRPr="0006079F">
        <w:rPr>
          <w:rFonts w:ascii="Arial" w:eastAsia="Arial" w:hAnsi="Arial" w:cs="Arial"/>
          <w:b/>
          <w:highlight w:val="white"/>
          <w:lang w:val="pt-BR"/>
        </w:rPr>
        <w:t>Revista de Enfermagem UFPE on </w:t>
      </w:r>
      <w:r w:rsidR="00DA361C" w:rsidRPr="0006079F">
        <w:rPr>
          <w:rFonts w:ascii="Arial" w:eastAsia="Arial" w:hAnsi="Arial" w:cs="Arial"/>
          <w:b/>
          <w:highlight w:val="white"/>
          <w:lang w:val="pt-BR"/>
        </w:rPr>
        <w:t>line</w:t>
      </w:r>
      <w:r w:rsidR="00DA361C" w:rsidRPr="0006079F">
        <w:rPr>
          <w:rFonts w:ascii="Arial" w:eastAsia="Arial" w:hAnsi="Arial" w:cs="Arial"/>
          <w:highlight w:val="white"/>
          <w:lang w:val="pt-BR"/>
        </w:rPr>
        <w:t>. Recife, v. 7(12), p. 6780-9, 2013. </w:t>
      </w:r>
    </w:p>
    <w:p w14:paraId="094A23D0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highlight w:val="white"/>
          <w:lang w:val="pt-BR"/>
        </w:rPr>
      </w:pPr>
    </w:p>
    <w:p w14:paraId="7C4C8FE4" w14:textId="1CE500C0" w:rsidR="00CD1DD1" w:rsidRPr="0006079F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shd w:val="clear" w:color="auto" w:fill="FBFBF3"/>
          <w:lang w:val="pt-BR"/>
        </w:rPr>
      </w:pPr>
      <w:r>
        <w:rPr>
          <w:rFonts w:ascii="Arial" w:eastAsia="Arial" w:hAnsi="Arial" w:cs="Arial"/>
          <w:highlight w:val="white"/>
          <w:lang w:val="pt-BR"/>
        </w:rPr>
        <w:t>5</w:t>
      </w:r>
      <w:r w:rsidR="00DA361C" w:rsidRPr="0006079F">
        <w:rPr>
          <w:rFonts w:ascii="Arial" w:eastAsia="Arial" w:hAnsi="Arial" w:cs="Arial"/>
          <w:highlight w:val="white"/>
          <w:lang w:val="pt-BR"/>
        </w:rPr>
        <w:t xml:space="preserve">-DÓREA, G. S.; MANOCHIO-PINA, M. G; SANTOS, D. </w:t>
      </w:r>
      <w:r w:rsidR="00DA361C" w:rsidRPr="0006079F">
        <w:rPr>
          <w:rFonts w:ascii="Arial" w:eastAsia="Arial" w:hAnsi="Arial" w:cs="Arial"/>
          <w:lang w:val="pt-BR"/>
        </w:rPr>
        <w:br/>
      </w:r>
      <w:r w:rsidR="00DA361C" w:rsidRPr="0006079F">
        <w:rPr>
          <w:rFonts w:ascii="Arial" w:eastAsia="Arial" w:hAnsi="Arial" w:cs="Arial"/>
          <w:shd w:val="clear" w:color="auto" w:fill="FBFBF3"/>
          <w:lang w:val="pt-BR"/>
        </w:rPr>
        <w:t xml:space="preserve">Aspectos nutricionais de idosos praticantes de atividade física. </w:t>
      </w:r>
      <w:r w:rsidR="00DA361C" w:rsidRPr="0006079F">
        <w:rPr>
          <w:rFonts w:ascii="Arial" w:eastAsia="Arial" w:hAnsi="Arial" w:cs="Arial"/>
          <w:b/>
          <w:shd w:val="clear" w:color="auto" w:fill="FBFBF3"/>
          <w:lang w:val="pt-BR"/>
        </w:rPr>
        <w:t>DEMETRA</w:t>
      </w:r>
      <w:r w:rsidR="00DA361C" w:rsidRPr="0006079F">
        <w:rPr>
          <w:rFonts w:ascii="Arial" w:eastAsia="Arial" w:hAnsi="Arial" w:cs="Arial"/>
          <w:shd w:val="clear" w:color="auto" w:fill="FBFBF3"/>
          <w:lang w:val="pt-BR"/>
        </w:rPr>
        <w:t>. v. 10(2), p. 347-60, 2015.</w:t>
      </w:r>
    </w:p>
    <w:p w14:paraId="203919E9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highlight w:val="white"/>
          <w:lang w:val="pt-BR"/>
        </w:rPr>
      </w:pPr>
    </w:p>
    <w:p w14:paraId="49A3D1B1" w14:textId="2B927C12" w:rsidR="00CD1DD1" w:rsidRPr="0006079F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highlight w:val="white"/>
          <w:lang w:val="pt-BR"/>
        </w:rPr>
      </w:pPr>
      <w:r>
        <w:rPr>
          <w:rFonts w:ascii="Arial" w:eastAsia="Arial" w:hAnsi="Arial" w:cs="Arial"/>
          <w:highlight w:val="white"/>
          <w:lang w:val="pt-BR"/>
        </w:rPr>
        <w:t>6</w:t>
      </w:r>
      <w:r w:rsidR="00DA361C" w:rsidRPr="0006079F">
        <w:rPr>
          <w:rFonts w:ascii="Arial" w:eastAsia="Arial" w:hAnsi="Arial" w:cs="Arial"/>
          <w:highlight w:val="white"/>
          <w:lang w:val="pt-BR"/>
        </w:rPr>
        <w:t>-FERNANDES, I. S. N.; MEZZOMO, T. R</w:t>
      </w:r>
      <w:r w:rsidR="00DA361C" w:rsidRPr="0006079F">
        <w:rPr>
          <w:rFonts w:ascii="Arial" w:eastAsia="Arial" w:hAnsi="Arial" w:cs="Arial"/>
          <w:b/>
          <w:highlight w:val="white"/>
          <w:lang w:val="pt-BR"/>
        </w:rPr>
        <w:t>. </w:t>
      </w:r>
      <w:r w:rsidR="00DA361C" w:rsidRPr="0006079F">
        <w:rPr>
          <w:rFonts w:ascii="Arial" w:eastAsia="Arial" w:hAnsi="Arial" w:cs="Arial"/>
          <w:highlight w:val="white"/>
          <w:lang w:val="pt-BR"/>
        </w:rPr>
        <w:t xml:space="preserve">Estado nutricional de participantes de um Centro de Atividades para Idosos em Colombo, </w:t>
      </w:r>
      <w:r w:rsidR="00DA361C" w:rsidRPr="0006079F">
        <w:rPr>
          <w:rFonts w:ascii="Arial" w:eastAsia="Arial" w:hAnsi="Arial" w:cs="Arial"/>
          <w:highlight w:val="white"/>
          <w:lang w:val="pt-BR"/>
        </w:rPr>
        <w:t>PR.</w:t>
      </w:r>
      <w:r w:rsidR="00DA361C" w:rsidRPr="0006079F">
        <w:rPr>
          <w:rFonts w:ascii="Arial" w:eastAsia="Arial" w:hAnsi="Arial" w:cs="Arial"/>
          <w:b/>
          <w:highlight w:val="white"/>
          <w:lang w:val="pt-BR"/>
        </w:rPr>
        <w:t> Revista da Associação Brasileira de Nutrição.</w:t>
      </w:r>
      <w:r w:rsidR="00DA361C" w:rsidRPr="0006079F">
        <w:rPr>
          <w:rFonts w:ascii="Arial" w:eastAsia="Arial" w:hAnsi="Arial" w:cs="Arial"/>
          <w:highlight w:val="white"/>
          <w:lang w:val="pt-BR"/>
        </w:rPr>
        <w:t> São Paulo, n. 1, p. 46-51, 2017.   </w:t>
      </w:r>
    </w:p>
    <w:p w14:paraId="2CB0492C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</w:p>
    <w:p w14:paraId="01F3D69C" w14:textId="5B06ACCD" w:rsidR="00CD1DD1" w:rsidRPr="0006079F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7</w:t>
      </w:r>
      <w:r w:rsidR="00DA361C" w:rsidRPr="0006079F">
        <w:rPr>
          <w:rFonts w:ascii="Arial" w:eastAsia="Arial" w:hAnsi="Arial" w:cs="Arial"/>
          <w:lang w:val="pt-BR"/>
        </w:rPr>
        <w:t xml:space="preserve">-FERREIRA, M. T. O papel da atividade física na composição corporal de idosos. </w:t>
      </w:r>
      <w:r w:rsidR="00DA361C" w:rsidRPr="0006079F">
        <w:rPr>
          <w:rFonts w:ascii="Arial" w:eastAsia="Arial" w:hAnsi="Arial" w:cs="Arial"/>
          <w:b/>
          <w:lang w:val="pt-BR"/>
        </w:rPr>
        <w:t>Re</w:t>
      </w:r>
      <w:r w:rsidR="00DA361C" w:rsidRPr="0006079F">
        <w:rPr>
          <w:rFonts w:ascii="Arial" w:eastAsia="Arial" w:hAnsi="Arial" w:cs="Arial"/>
          <w:b/>
          <w:lang w:val="pt-BR"/>
        </w:rPr>
        <w:t>vista Brasileira de Ciências da Saúde</w:t>
      </w:r>
      <w:r w:rsidR="00DA361C" w:rsidRPr="0006079F">
        <w:rPr>
          <w:rFonts w:ascii="Arial" w:eastAsia="Arial" w:hAnsi="Arial" w:cs="Arial"/>
          <w:lang w:val="pt-BR"/>
        </w:rPr>
        <w:t>. v. 1, n. 1, p. 43-51, 2003.</w:t>
      </w:r>
    </w:p>
    <w:p w14:paraId="027CC5F0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</w:p>
    <w:p w14:paraId="7B82D10D" w14:textId="7A388512" w:rsidR="00036085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hAnsi="Arial" w:cs="Arial"/>
        </w:rPr>
      </w:pPr>
      <w:r w:rsidRPr="00295B92">
        <w:rPr>
          <w:rFonts w:ascii="Arial" w:eastAsia="Arial" w:hAnsi="Arial" w:cs="Arial"/>
        </w:rPr>
        <w:t>8</w:t>
      </w:r>
      <w:r w:rsidR="00DA361C" w:rsidRPr="00036085">
        <w:rPr>
          <w:rFonts w:ascii="Arial" w:eastAsia="Arial" w:hAnsi="Arial" w:cs="Arial"/>
        </w:rPr>
        <w:t>-</w:t>
      </w:r>
      <w:r w:rsidR="00036085" w:rsidRPr="00036085">
        <w:rPr>
          <w:rFonts w:ascii="Arial" w:hAnsi="Arial" w:cs="Arial"/>
        </w:rPr>
        <w:t xml:space="preserve"> </w:t>
      </w:r>
      <w:r w:rsidR="00036085" w:rsidRPr="00036085">
        <w:rPr>
          <w:rFonts w:ascii="Arial" w:hAnsi="Arial" w:cs="Arial"/>
        </w:rPr>
        <w:t xml:space="preserve">FRISANCHO, A. R. Anthropometric Standards for the Assessment of Growth and Nutritional Status. Ann Arbor, Michigan: University of Michigan Press, 1990. </w:t>
      </w:r>
    </w:p>
    <w:p w14:paraId="6555F9B3" w14:textId="77777777" w:rsidR="00DA361C" w:rsidRPr="00036085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hAnsi="Arial" w:cs="Arial"/>
        </w:rPr>
      </w:pPr>
    </w:p>
    <w:p w14:paraId="07C24290" w14:textId="2EB7DEF0" w:rsidR="00CD1DD1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>
        <w:rPr>
          <w:rFonts w:ascii="Arial" w:hAnsi="Arial" w:cs="Arial"/>
          <w:lang w:val="es-ES"/>
        </w:rPr>
        <w:t>9</w:t>
      </w:r>
      <w:r w:rsidR="00036085" w:rsidRPr="00036085">
        <w:rPr>
          <w:rFonts w:ascii="Arial" w:hAnsi="Arial" w:cs="Arial"/>
          <w:lang w:val="es-ES"/>
        </w:rPr>
        <w:t xml:space="preserve">- </w:t>
      </w:r>
      <w:r w:rsidR="00DA361C" w:rsidRPr="00036085">
        <w:rPr>
          <w:rFonts w:ascii="Arial" w:eastAsia="Arial" w:hAnsi="Arial" w:cs="Arial"/>
          <w:lang w:val="es-ES"/>
        </w:rPr>
        <w:t xml:space="preserve">FURAZO JUNIOR, G., et al. </w:t>
      </w:r>
      <w:r w:rsidR="00DA361C" w:rsidRPr="0006079F">
        <w:rPr>
          <w:rFonts w:ascii="Arial" w:eastAsia="Arial" w:hAnsi="Arial" w:cs="Arial"/>
          <w:lang w:val="pt-BR"/>
        </w:rPr>
        <w:t>Alimentação e nutrição no envelhecimento e na aposentadoria. São Paulo: Cultura Acadêmica, p. 103-116, 2016. </w:t>
      </w:r>
    </w:p>
    <w:p w14:paraId="22340858" w14:textId="428C348A" w:rsidR="0006079F" w:rsidRDefault="000607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</w:p>
    <w:p w14:paraId="5C509BC2" w14:textId="71F11C84" w:rsidR="0006079F" w:rsidRPr="0006079F" w:rsidRDefault="00295B92" w:rsidP="00DA361C">
      <w:pPr>
        <w:shd w:val="clear" w:color="auto" w:fill="FFFFFF"/>
        <w:contextualSpacing/>
        <w:jc w:val="both"/>
        <w:rPr>
          <w:lang w:val="pt-BR"/>
        </w:rPr>
      </w:pPr>
      <w:r>
        <w:rPr>
          <w:rFonts w:ascii="Arial" w:eastAsia="Arial" w:hAnsi="Arial" w:cs="Arial"/>
        </w:rPr>
        <w:t>10</w:t>
      </w:r>
      <w:r w:rsidR="0006079F" w:rsidRPr="0006079F">
        <w:rPr>
          <w:rFonts w:ascii="Arial" w:eastAsia="Arial" w:hAnsi="Arial" w:cs="Arial"/>
        </w:rPr>
        <w:t xml:space="preserve">- </w:t>
      </w:r>
      <w:r w:rsidR="0006079F" w:rsidRPr="0006079F">
        <w:rPr>
          <w:rFonts w:ascii="Arial" w:hAnsi="Arial" w:cs="Arial"/>
          <w:bdr w:val="none" w:sz="0" w:space="0" w:color="auto" w:frame="1"/>
        </w:rPr>
        <w:t>LIPSCHITZ, D. A. Screening for nutritional status in the elderly. </w:t>
      </w:r>
      <w:r w:rsidR="0006079F" w:rsidRPr="0006079F">
        <w:rPr>
          <w:rFonts w:ascii="Arial" w:hAnsi="Arial" w:cs="Arial"/>
          <w:b/>
          <w:bCs/>
          <w:bdr w:val="none" w:sz="0" w:space="0" w:color="auto" w:frame="1"/>
          <w:lang w:val="pt-BR"/>
        </w:rPr>
        <w:t>Primary Care Rewiew.</w:t>
      </w:r>
      <w:r w:rsidR="0006079F" w:rsidRPr="0006079F">
        <w:rPr>
          <w:rFonts w:ascii="Arial" w:hAnsi="Arial" w:cs="Arial"/>
          <w:bdr w:val="none" w:sz="0" w:space="0" w:color="auto" w:frame="1"/>
          <w:lang w:val="pt-BR"/>
        </w:rPr>
        <w:t> V. 21, n.1, 1994.</w:t>
      </w:r>
    </w:p>
    <w:p w14:paraId="42804588" w14:textId="77777777" w:rsidR="00CD1DD1" w:rsidRPr="0006079F" w:rsidRDefault="00CD1DD1" w:rsidP="0006079F">
      <w:pPr>
        <w:jc w:val="both"/>
        <w:rPr>
          <w:rFonts w:ascii="Arial" w:eastAsia="Arial" w:hAnsi="Arial" w:cs="Arial"/>
          <w:lang w:val="pt-BR"/>
        </w:rPr>
      </w:pPr>
    </w:p>
    <w:p w14:paraId="4DF83F9A" w14:textId="6A65850A" w:rsidR="00CD1DD1" w:rsidRPr="0006079F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11</w:t>
      </w:r>
      <w:r w:rsidR="00DA361C" w:rsidRPr="0006079F">
        <w:rPr>
          <w:rFonts w:ascii="Arial" w:eastAsia="Arial" w:hAnsi="Arial" w:cs="Arial"/>
          <w:lang w:val="pt-BR"/>
        </w:rPr>
        <w:t>-MACHADO, R. S. P.; COELHO, M. A. S. C.; COELHO,</w:t>
      </w:r>
      <w:r w:rsidR="00DA361C" w:rsidRPr="0006079F">
        <w:rPr>
          <w:rFonts w:ascii="Arial" w:eastAsia="Arial" w:hAnsi="Arial" w:cs="Arial"/>
          <w:lang w:val="pt-BR"/>
        </w:rPr>
        <w:t xml:space="preserve"> K. S. C. Percentual de gordura corporal em idosos: comparação entre os métodos de estimativa pela área adiposa do braço, pela dobra cutânea tricipital e por bioimpedância tetrapolar. </w:t>
      </w:r>
      <w:r w:rsidR="00DA361C" w:rsidRPr="0006079F">
        <w:rPr>
          <w:rFonts w:ascii="Arial" w:eastAsia="Arial" w:hAnsi="Arial" w:cs="Arial"/>
          <w:b/>
          <w:lang w:val="pt-BR"/>
        </w:rPr>
        <w:t>Revista Brasileira de Geriatria e Gerontologia.</w:t>
      </w:r>
      <w:r w:rsidR="00DA361C" w:rsidRPr="0006079F">
        <w:rPr>
          <w:rFonts w:ascii="Arial" w:eastAsia="Arial" w:hAnsi="Arial" w:cs="Arial"/>
          <w:lang w:val="pt-BR"/>
        </w:rPr>
        <w:t xml:space="preserve"> Rio de Janeiro. v. 13(1)</w:t>
      </w:r>
      <w:r w:rsidR="00DA361C" w:rsidRPr="0006079F">
        <w:rPr>
          <w:rFonts w:ascii="Arial" w:eastAsia="Arial" w:hAnsi="Arial" w:cs="Arial"/>
          <w:lang w:val="pt-BR"/>
        </w:rPr>
        <w:t xml:space="preserve">, p. 17-27, 2010. </w:t>
      </w:r>
    </w:p>
    <w:p w14:paraId="47ACCC5D" w14:textId="77777777" w:rsidR="00CD1DD1" w:rsidRPr="0006079F" w:rsidRDefault="00CD1DD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color w:val="000000"/>
          <w:lang w:val="pt-BR"/>
        </w:rPr>
      </w:pPr>
    </w:p>
    <w:p w14:paraId="4B28E852" w14:textId="60B8F644" w:rsidR="00CD1DD1" w:rsidRPr="0006079F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12</w:t>
      </w:r>
      <w:r w:rsidR="00DA361C" w:rsidRPr="0006079F">
        <w:rPr>
          <w:rFonts w:ascii="Arial" w:eastAsia="Arial" w:hAnsi="Arial" w:cs="Arial"/>
          <w:lang w:val="pt-BR"/>
        </w:rPr>
        <w:t>-MARTINS, C. Antropometria. Curitiba, 2009. </w:t>
      </w:r>
    </w:p>
    <w:p w14:paraId="7B657823" w14:textId="77777777" w:rsidR="00CD1DD1" w:rsidRPr="0006079F" w:rsidRDefault="00CD1DD1">
      <w:pPr>
        <w:jc w:val="both"/>
        <w:rPr>
          <w:rFonts w:ascii="Arial" w:eastAsia="Arial" w:hAnsi="Arial" w:cs="Arial"/>
          <w:lang w:val="pt-BR"/>
        </w:rPr>
      </w:pPr>
    </w:p>
    <w:p w14:paraId="7EBEDB8F" w14:textId="37365FBA" w:rsidR="00CD1DD1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highlight w:val="white"/>
        </w:rPr>
      </w:pPr>
      <w:r w:rsidRPr="0006079F">
        <w:rPr>
          <w:rFonts w:ascii="Arial" w:eastAsia="Arial" w:hAnsi="Arial" w:cs="Arial"/>
          <w:lang w:val="pt-BR"/>
        </w:rPr>
        <w:t>1</w:t>
      </w:r>
      <w:r w:rsidR="00295B92">
        <w:rPr>
          <w:rFonts w:ascii="Arial" w:eastAsia="Arial" w:hAnsi="Arial" w:cs="Arial"/>
          <w:lang w:val="pt-BR"/>
        </w:rPr>
        <w:t>3</w:t>
      </w:r>
      <w:r w:rsidRPr="0006079F">
        <w:rPr>
          <w:rFonts w:ascii="Arial" w:eastAsia="Arial" w:hAnsi="Arial" w:cs="Arial"/>
          <w:lang w:val="pt-BR"/>
        </w:rPr>
        <w:t xml:space="preserve">-MEDEIROS, C. M. R.; COELHO, C. S. C.; GUERRA, M. O. Treinamento muscular na prevenção de lesões musculo-esqueleticas em idosos. </w:t>
      </w:r>
      <w:r>
        <w:rPr>
          <w:rFonts w:ascii="Arial" w:eastAsia="Arial" w:hAnsi="Arial" w:cs="Arial"/>
          <w:b/>
          <w:highlight w:val="white"/>
        </w:rPr>
        <w:t xml:space="preserve">Health Research Journal. </w:t>
      </w:r>
      <w:r>
        <w:rPr>
          <w:rFonts w:ascii="Arial" w:eastAsia="Arial" w:hAnsi="Arial" w:cs="Arial"/>
          <w:highlight w:val="white"/>
        </w:rPr>
        <w:t>Belém,</w:t>
      </w:r>
      <w:r>
        <w:rPr>
          <w:rFonts w:ascii="Arial" w:eastAsia="Arial" w:hAnsi="Arial" w:cs="Arial"/>
          <w:b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v. 1, n. 1, 2018.</w:t>
      </w:r>
    </w:p>
    <w:p w14:paraId="7AF9FF19" w14:textId="77777777" w:rsidR="00CD1DD1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highlight w:val="white"/>
        </w:rPr>
      </w:pPr>
    </w:p>
    <w:p w14:paraId="63BC4F8D" w14:textId="647AB604" w:rsidR="00CD1DD1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highlight w:val="white"/>
        </w:rPr>
      </w:pPr>
      <w:r w:rsidRPr="00295B92">
        <w:rPr>
          <w:rFonts w:ascii="Arial" w:eastAsia="Arial" w:hAnsi="Arial" w:cs="Arial"/>
          <w:highlight w:val="white"/>
          <w:lang w:val="pt-BR"/>
        </w:rPr>
        <w:t>1</w:t>
      </w:r>
      <w:r w:rsidR="00295B92">
        <w:rPr>
          <w:rFonts w:ascii="Arial" w:eastAsia="Arial" w:hAnsi="Arial" w:cs="Arial"/>
          <w:highlight w:val="white"/>
          <w:lang w:val="pt-BR"/>
        </w:rPr>
        <w:t>4</w:t>
      </w:r>
      <w:r w:rsidRPr="00295B92">
        <w:rPr>
          <w:rFonts w:ascii="Arial" w:eastAsia="Arial" w:hAnsi="Arial" w:cs="Arial"/>
          <w:highlight w:val="white"/>
          <w:lang w:val="pt-BR"/>
        </w:rPr>
        <w:t xml:space="preserve">-NASCIMENTO, M. M., et al. </w:t>
      </w:r>
      <w:r w:rsidRPr="0006079F">
        <w:rPr>
          <w:rFonts w:ascii="Arial" w:eastAsia="Arial" w:hAnsi="Arial" w:cs="Arial"/>
          <w:lang w:val="pt-BR"/>
        </w:rPr>
        <w:t>Comparação e concordância de critérios à clas</w:t>
      </w:r>
      <w:r w:rsidRPr="0006079F">
        <w:rPr>
          <w:rFonts w:ascii="Arial" w:eastAsia="Arial" w:hAnsi="Arial" w:cs="Arial"/>
          <w:lang w:val="pt-BR"/>
        </w:rPr>
        <w:t xml:space="preserve">sificação do IMC de </w:t>
      </w:r>
      <w:r w:rsidRPr="0006079F">
        <w:rPr>
          <w:rFonts w:ascii="Arial" w:eastAsia="Arial" w:hAnsi="Arial" w:cs="Arial"/>
          <w:lang w:val="pt-BR"/>
        </w:rPr>
        <w:lastRenderedPageBreak/>
        <w:t xml:space="preserve">idosas fisicamente ativas, residentes no Sertão Nordestino. </w:t>
      </w:r>
      <w:r>
        <w:rPr>
          <w:rFonts w:ascii="Arial" w:eastAsia="Arial" w:hAnsi="Arial" w:cs="Arial"/>
          <w:b/>
        </w:rPr>
        <w:t>Journal of Human Growth and Development</w:t>
      </w:r>
      <w:r>
        <w:rPr>
          <w:rFonts w:ascii="Arial" w:eastAsia="Arial" w:hAnsi="Arial" w:cs="Arial"/>
        </w:rPr>
        <w:t xml:space="preserve">. v. 27(3), p. 342-49, 2017. </w:t>
      </w:r>
    </w:p>
    <w:p w14:paraId="4A44BC99" w14:textId="4D2BBF4A" w:rsidR="00CD1DD1" w:rsidRPr="0006079F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highlight w:val="white"/>
        </w:rPr>
        <w:t>1</w:t>
      </w:r>
      <w:r w:rsidR="00295B92">
        <w:rPr>
          <w:rFonts w:ascii="Arial" w:eastAsia="Arial" w:hAnsi="Arial" w:cs="Arial"/>
          <w:highlight w:val="white"/>
        </w:rPr>
        <w:t>5</w:t>
      </w:r>
      <w:r>
        <w:rPr>
          <w:rFonts w:ascii="Arial" w:eastAsia="Arial" w:hAnsi="Arial" w:cs="Arial"/>
          <w:highlight w:val="white"/>
        </w:rPr>
        <w:t xml:space="preserve">-PAGOTTO, V. et al. </w:t>
      </w:r>
      <w:r w:rsidRPr="0006079F">
        <w:rPr>
          <w:rFonts w:ascii="Arial" w:eastAsia="Arial" w:hAnsi="Arial" w:cs="Arial"/>
          <w:lang w:val="pt-BR"/>
        </w:rPr>
        <w:t xml:space="preserve">Circunferência da panturrilha: validação clínica para avaliação de massa muscular em </w:t>
      </w:r>
      <w:r w:rsidRPr="0006079F">
        <w:rPr>
          <w:rFonts w:ascii="Arial" w:eastAsia="Arial" w:hAnsi="Arial" w:cs="Arial"/>
          <w:lang w:val="pt-BR"/>
        </w:rPr>
        <w:t xml:space="preserve">idosos. </w:t>
      </w:r>
      <w:r w:rsidRPr="0006079F">
        <w:rPr>
          <w:rFonts w:ascii="Arial" w:eastAsia="Arial" w:hAnsi="Arial" w:cs="Arial"/>
          <w:b/>
          <w:lang w:val="pt-BR"/>
        </w:rPr>
        <w:t xml:space="preserve">Revista Brasileira de Enfermagem. </w:t>
      </w:r>
      <w:r w:rsidRPr="0006079F">
        <w:rPr>
          <w:rFonts w:ascii="Arial" w:eastAsia="Arial" w:hAnsi="Arial" w:cs="Arial"/>
          <w:lang w:val="pt-BR"/>
        </w:rPr>
        <w:t xml:space="preserve">v. 71(2), p.343- 50, 2018. </w:t>
      </w:r>
    </w:p>
    <w:p w14:paraId="4A041465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highlight w:val="white"/>
          <w:lang w:val="pt-BR"/>
        </w:rPr>
      </w:pPr>
    </w:p>
    <w:p w14:paraId="198F463A" w14:textId="074983EA" w:rsidR="00CD1DD1" w:rsidRPr="0006079F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pt-BR"/>
        </w:rPr>
      </w:pPr>
      <w:r w:rsidRPr="0006079F">
        <w:rPr>
          <w:rFonts w:ascii="Arial" w:eastAsia="Arial" w:hAnsi="Arial" w:cs="Arial"/>
          <w:highlight w:val="white"/>
          <w:lang w:val="pt-BR"/>
        </w:rPr>
        <w:t>1</w:t>
      </w:r>
      <w:r w:rsidR="00295B92">
        <w:rPr>
          <w:rFonts w:ascii="Arial" w:eastAsia="Arial" w:hAnsi="Arial" w:cs="Arial"/>
          <w:highlight w:val="white"/>
          <w:lang w:val="pt-BR"/>
        </w:rPr>
        <w:t>6</w:t>
      </w:r>
      <w:r w:rsidRPr="0006079F">
        <w:rPr>
          <w:rFonts w:ascii="Arial" w:eastAsia="Arial" w:hAnsi="Arial" w:cs="Arial"/>
          <w:highlight w:val="white"/>
          <w:lang w:val="pt-BR"/>
        </w:rPr>
        <w:t>-PEREIRA, L. C. et al. A influência da composição corporal na força de homens idosos brasileiros. </w:t>
      </w:r>
      <w:r w:rsidRPr="0006079F">
        <w:rPr>
          <w:rFonts w:ascii="Arial" w:eastAsia="Arial" w:hAnsi="Arial" w:cs="Arial"/>
          <w:b/>
          <w:highlight w:val="white"/>
          <w:lang w:val="pt-BR"/>
        </w:rPr>
        <w:t>Revista Brasileira de Medicina e Esporte</w:t>
      </w:r>
      <w:r w:rsidRPr="0006079F">
        <w:rPr>
          <w:rFonts w:ascii="Arial" w:eastAsia="Arial" w:hAnsi="Arial" w:cs="Arial"/>
          <w:highlight w:val="white"/>
          <w:lang w:val="pt-BR"/>
        </w:rPr>
        <w:t>. v. 21, 2015.</w:t>
      </w:r>
    </w:p>
    <w:p w14:paraId="2885E940" w14:textId="690B4433" w:rsidR="00CD1DD1" w:rsidRPr="0006079F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 w:rsidRPr="00295B92">
        <w:rPr>
          <w:rFonts w:ascii="Arial" w:eastAsia="Arial" w:hAnsi="Arial" w:cs="Arial"/>
          <w:highlight w:val="white"/>
          <w:lang w:val="es-ES"/>
        </w:rPr>
        <w:t>1</w:t>
      </w:r>
      <w:r>
        <w:rPr>
          <w:rFonts w:ascii="Arial" w:eastAsia="Arial" w:hAnsi="Arial" w:cs="Arial"/>
          <w:highlight w:val="white"/>
          <w:lang w:val="es-ES"/>
        </w:rPr>
        <w:t>7</w:t>
      </w:r>
      <w:r w:rsidRPr="00295B92">
        <w:rPr>
          <w:rFonts w:ascii="Arial" w:eastAsia="Arial" w:hAnsi="Arial" w:cs="Arial"/>
          <w:highlight w:val="white"/>
          <w:lang w:val="es-ES"/>
        </w:rPr>
        <w:t>-</w:t>
      </w:r>
      <w:r w:rsidR="00DA361C" w:rsidRPr="00295B92">
        <w:rPr>
          <w:rFonts w:ascii="Arial" w:eastAsia="Arial" w:hAnsi="Arial" w:cs="Arial"/>
          <w:highlight w:val="white"/>
          <w:lang w:val="es-ES"/>
        </w:rPr>
        <w:t xml:space="preserve">PIMENTA, F. B. et al. </w:t>
      </w:r>
      <w:r w:rsidR="00DA361C" w:rsidRPr="0006079F">
        <w:rPr>
          <w:rFonts w:ascii="Arial" w:eastAsia="Arial" w:hAnsi="Arial" w:cs="Arial"/>
          <w:lang w:val="pt-BR"/>
        </w:rPr>
        <w:t xml:space="preserve">Fatores </w:t>
      </w:r>
      <w:r w:rsidR="00DA361C" w:rsidRPr="0006079F">
        <w:rPr>
          <w:rFonts w:ascii="Arial" w:eastAsia="Arial" w:hAnsi="Arial" w:cs="Arial"/>
          <w:lang w:val="pt-BR"/>
        </w:rPr>
        <w:t xml:space="preserve">associados a doenças crônicas em idosos atendidos pela Estratégia de Saúde da Família. </w:t>
      </w:r>
      <w:r w:rsidR="00DA361C" w:rsidRPr="0006079F">
        <w:rPr>
          <w:rFonts w:ascii="Arial" w:eastAsia="Arial" w:hAnsi="Arial" w:cs="Arial"/>
          <w:b/>
          <w:lang w:val="pt-BR"/>
        </w:rPr>
        <w:t>Ciência &amp; Saúde Coletiva</w:t>
      </w:r>
      <w:r w:rsidR="00DA361C" w:rsidRPr="0006079F">
        <w:rPr>
          <w:rFonts w:ascii="Arial" w:eastAsia="Arial" w:hAnsi="Arial" w:cs="Arial"/>
          <w:lang w:val="pt-BR"/>
        </w:rPr>
        <w:t>. v. 20(8), p. 2489 – 98, 2015.</w:t>
      </w:r>
    </w:p>
    <w:p w14:paraId="34520F59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highlight w:val="white"/>
          <w:lang w:val="pt-BR"/>
        </w:rPr>
      </w:pPr>
    </w:p>
    <w:p w14:paraId="4B238DAB" w14:textId="3F9EFBC7" w:rsidR="00CD1DD1" w:rsidRPr="0006079F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 w:rsidRPr="00295B92">
        <w:rPr>
          <w:rFonts w:ascii="Arial" w:eastAsia="Arial" w:hAnsi="Arial" w:cs="Arial"/>
          <w:lang w:val="es-ES"/>
        </w:rPr>
        <w:t>1</w:t>
      </w:r>
      <w:r w:rsidR="00295B92">
        <w:rPr>
          <w:rFonts w:ascii="Arial" w:eastAsia="Arial" w:hAnsi="Arial" w:cs="Arial"/>
          <w:lang w:val="es-ES"/>
        </w:rPr>
        <w:t>8</w:t>
      </w:r>
      <w:r w:rsidRPr="00295B92">
        <w:rPr>
          <w:rFonts w:ascii="Arial" w:eastAsia="Arial" w:hAnsi="Arial" w:cs="Arial"/>
          <w:lang w:val="es-ES"/>
        </w:rPr>
        <w:t xml:space="preserve">-POLITO, M. D. et al. </w:t>
      </w:r>
      <w:r w:rsidRPr="0006079F">
        <w:rPr>
          <w:rFonts w:ascii="Arial" w:eastAsia="Arial" w:hAnsi="Arial" w:cs="Arial"/>
          <w:lang w:val="pt-BR"/>
        </w:rPr>
        <w:t>Efeito de 12 semanas de treinamento com pesos sobre a força muscular, composição corpora</w:t>
      </w:r>
      <w:r w:rsidRPr="0006079F">
        <w:rPr>
          <w:rFonts w:ascii="Arial" w:eastAsia="Arial" w:hAnsi="Arial" w:cs="Arial"/>
          <w:lang w:val="pt-BR"/>
        </w:rPr>
        <w:t xml:space="preserve">l e triglicérides em homens sedentários. </w:t>
      </w:r>
      <w:r w:rsidRPr="0006079F">
        <w:rPr>
          <w:rFonts w:ascii="Arial" w:eastAsia="Arial" w:hAnsi="Arial" w:cs="Arial"/>
          <w:b/>
          <w:lang w:val="pt-BR"/>
        </w:rPr>
        <w:t xml:space="preserve">Revista Brasileira de Medicina do Esporte. </w:t>
      </w:r>
      <w:r w:rsidRPr="0006079F">
        <w:rPr>
          <w:rFonts w:ascii="Arial" w:eastAsia="Arial" w:hAnsi="Arial" w:cs="Arial"/>
          <w:lang w:val="pt-BR"/>
        </w:rPr>
        <w:t>Londrina, v. 16.2, p. 29-32, 2010.</w:t>
      </w:r>
    </w:p>
    <w:p w14:paraId="2DFEA5C6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</w:p>
    <w:p w14:paraId="1D2A6FCE" w14:textId="2DF77A9A" w:rsidR="00CD1DD1" w:rsidRPr="0006079F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 w:rsidRPr="00295B92">
        <w:rPr>
          <w:rFonts w:ascii="Arial" w:eastAsia="Arial" w:hAnsi="Arial" w:cs="Arial"/>
          <w:lang w:val="es-ES"/>
        </w:rPr>
        <w:t>1</w:t>
      </w:r>
      <w:r w:rsidR="00295B92">
        <w:rPr>
          <w:rFonts w:ascii="Arial" w:eastAsia="Arial" w:hAnsi="Arial" w:cs="Arial"/>
          <w:lang w:val="es-ES"/>
        </w:rPr>
        <w:t>9</w:t>
      </w:r>
      <w:r w:rsidRPr="00295B92">
        <w:rPr>
          <w:rFonts w:ascii="Arial" w:eastAsia="Arial" w:hAnsi="Arial" w:cs="Arial"/>
          <w:lang w:val="es-ES"/>
        </w:rPr>
        <w:t>-PREVIATO, H. D. R. A. et al. </w:t>
      </w:r>
      <w:r w:rsidRPr="0006079F">
        <w:rPr>
          <w:rFonts w:ascii="Arial" w:eastAsia="Arial" w:hAnsi="Arial" w:cs="Arial"/>
          <w:lang w:val="pt-BR"/>
        </w:rPr>
        <w:t>Associação entre índice de massa corporal e circunferência da cintura em idosas, Ouro Preto, Minas Gerai</w:t>
      </w:r>
      <w:r w:rsidRPr="0006079F">
        <w:rPr>
          <w:rFonts w:ascii="Arial" w:eastAsia="Arial" w:hAnsi="Arial" w:cs="Arial"/>
          <w:lang w:val="pt-BR"/>
        </w:rPr>
        <w:t>s, Brasil. </w:t>
      </w:r>
      <w:r w:rsidRPr="0006079F">
        <w:rPr>
          <w:rFonts w:ascii="Arial" w:eastAsia="Arial" w:hAnsi="Arial" w:cs="Arial"/>
          <w:b/>
          <w:lang w:val="pt-BR"/>
        </w:rPr>
        <w:t>Nutrição e Dietética Hospitalar. </w:t>
      </w:r>
      <w:r w:rsidRPr="0006079F">
        <w:rPr>
          <w:rFonts w:ascii="Arial" w:eastAsia="Arial" w:hAnsi="Arial" w:cs="Arial"/>
          <w:lang w:val="pt-BR"/>
        </w:rPr>
        <w:t>Minas Gerais. v. 34.1, p.25-30, 2014. </w:t>
      </w:r>
    </w:p>
    <w:p w14:paraId="000FE145" w14:textId="77777777" w:rsidR="00CD1DD1" w:rsidRPr="0006079F" w:rsidRDefault="00CD1DD1">
      <w:pPr>
        <w:ind w:left="360"/>
        <w:jc w:val="both"/>
        <w:rPr>
          <w:rFonts w:ascii="Arial" w:eastAsia="Arial" w:hAnsi="Arial" w:cs="Arial"/>
          <w:lang w:val="pt-BR"/>
        </w:rPr>
      </w:pPr>
    </w:p>
    <w:p w14:paraId="7C41C6B7" w14:textId="48FEFAD4" w:rsidR="00CD1DD1" w:rsidRPr="0006079F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20</w:t>
      </w:r>
      <w:r w:rsidR="00DA361C" w:rsidRPr="0006079F">
        <w:rPr>
          <w:rFonts w:ascii="Arial" w:eastAsia="Arial" w:hAnsi="Arial" w:cs="Arial"/>
          <w:lang w:val="pt-BR"/>
        </w:rPr>
        <w:t xml:space="preserve">-SCHERER, R. et al. Estado nutricional e prevalência de doenças crônicas em idosos de um município do interior do Rio Grande do Sul. </w:t>
      </w:r>
      <w:r w:rsidR="00DA361C" w:rsidRPr="0006079F">
        <w:rPr>
          <w:rFonts w:ascii="Arial" w:eastAsia="Arial" w:hAnsi="Arial" w:cs="Arial"/>
          <w:b/>
          <w:lang w:val="pt-BR"/>
        </w:rPr>
        <w:t>Revista Brasileira de Geriatria e Ger</w:t>
      </w:r>
      <w:r w:rsidR="00DA361C" w:rsidRPr="0006079F">
        <w:rPr>
          <w:rFonts w:ascii="Arial" w:eastAsia="Arial" w:hAnsi="Arial" w:cs="Arial"/>
          <w:b/>
          <w:lang w:val="pt-BR"/>
        </w:rPr>
        <w:t>ontologia.</w:t>
      </w:r>
      <w:r w:rsidR="00DA361C" w:rsidRPr="0006079F">
        <w:rPr>
          <w:rFonts w:ascii="Arial" w:eastAsia="Arial" w:hAnsi="Arial" w:cs="Arial"/>
          <w:lang w:val="pt-BR"/>
        </w:rPr>
        <w:t xml:space="preserve"> Rio de Janeiro. v. 16(4), p. 769-79, 2013.</w:t>
      </w:r>
    </w:p>
    <w:p w14:paraId="02715299" w14:textId="77777777" w:rsidR="00CD1DD1" w:rsidRPr="0006079F" w:rsidRDefault="00CD1DD1">
      <w:pPr>
        <w:ind w:left="360"/>
        <w:jc w:val="both"/>
        <w:rPr>
          <w:rFonts w:ascii="Arial" w:eastAsia="Arial" w:hAnsi="Arial" w:cs="Arial"/>
          <w:lang w:val="pt-BR"/>
        </w:rPr>
      </w:pPr>
    </w:p>
    <w:p w14:paraId="507A58ED" w14:textId="6C9513FA" w:rsidR="00CD1DD1" w:rsidRPr="0006079F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21</w:t>
      </w:r>
      <w:r w:rsidR="00DA361C" w:rsidRPr="0006079F">
        <w:rPr>
          <w:rFonts w:ascii="Arial" w:eastAsia="Arial" w:hAnsi="Arial" w:cs="Arial"/>
          <w:lang w:val="pt-BR"/>
        </w:rPr>
        <w:t xml:space="preserve">-SILVA, M. C.; ROMBALDI, A. J.; CAMPOS, A. L. P. </w:t>
      </w:r>
      <w:r w:rsidR="00DA361C" w:rsidRPr="0006079F">
        <w:rPr>
          <w:rFonts w:ascii="Arial" w:eastAsia="Arial" w:hAnsi="Arial" w:cs="Arial"/>
          <w:highlight w:val="white"/>
          <w:lang w:val="pt-BR"/>
        </w:rPr>
        <w:t xml:space="preserve">Ordem dos exercícios físicos aeróbio e com pesos na aptidão física de mulheres acima de </w:t>
      </w:r>
      <w:r w:rsidR="00DA361C" w:rsidRPr="0006079F">
        <w:rPr>
          <w:rFonts w:ascii="Arial" w:eastAsia="Arial" w:hAnsi="Arial" w:cs="Arial"/>
          <w:highlight w:val="white"/>
          <w:lang w:val="pt-BR"/>
        </w:rPr>
        <w:t xml:space="preserve">50 anos. </w:t>
      </w:r>
      <w:r w:rsidR="00DA361C" w:rsidRPr="0006079F">
        <w:rPr>
          <w:rFonts w:ascii="Arial" w:eastAsia="Arial" w:hAnsi="Arial" w:cs="Arial"/>
          <w:b/>
          <w:lang w:val="pt-BR"/>
        </w:rPr>
        <w:t>Revista Brasileira de Cineantropometria &amp; Desempenho Humano.</w:t>
      </w:r>
      <w:r w:rsidR="00DA361C" w:rsidRPr="0006079F">
        <w:rPr>
          <w:rFonts w:ascii="Arial" w:eastAsia="Arial" w:hAnsi="Arial" w:cs="Arial"/>
          <w:lang w:val="pt-BR"/>
        </w:rPr>
        <w:t xml:space="preserve"> v.12(2), p 134-39, 2010. </w:t>
      </w:r>
    </w:p>
    <w:p w14:paraId="00B24F6D" w14:textId="77777777" w:rsidR="00CD1DD1" w:rsidRPr="0006079F" w:rsidRDefault="00CD1DD1">
      <w:pPr>
        <w:jc w:val="both"/>
        <w:rPr>
          <w:rFonts w:ascii="Arial" w:eastAsia="Arial" w:hAnsi="Arial" w:cs="Arial"/>
          <w:lang w:val="pt-BR"/>
        </w:rPr>
      </w:pPr>
    </w:p>
    <w:p w14:paraId="539DAC1D" w14:textId="6CE88DFD" w:rsidR="00CD1DD1" w:rsidRPr="0006079F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22</w:t>
      </w:r>
      <w:r w:rsidR="00DA361C" w:rsidRPr="0006079F">
        <w:rPr>
          <w:rFonts w:ascii="Arial" w:eastAsia="Arial" w:hAnsi="Arial" w:cs="Arial"/>
          <w:lang w:val="pt-BR"/>
        </w:rPr>
        <w:t xml:space="preserve">-SILVEIRA, E. A.; VIEIRA, L. L.; SOUZA, J. D. Elevada prevalência de </w:t>
      </w:r>
      <w:r w:rsidR="00DA361C" w:rsidRPr="0006079F">
        <w:rPr>
          <w:rFonts w:ascii="Arial" w:eastAsia="Arial" w:hAnsi="Arial" w:cs="Arial"/>
          <w:lang w:val="pt-BR"/>
        </w:rPr>
        <w:t xml:space="preserve">obesidade abdominal em idosos e associação com diabetes, hipertensão e doenças respiratórias. </w:t>
      </w:r>
      <w:r w:rsidR="00DA361C" w:rsidRPr="0006079F">
        <w:rPr>
          <w:rFonts w:ascii="Arial" w:eastAsia="Arial" w:hAnsi="Arial" w:cs="Arial"/>
          <w:b/>
          <w:lang w:val="pt-BR"/>
        </w:rPr>
        <w:t>Ciência e Saúde Coletiva</w:t>
      </w:r>
      <w:r w:rsidR="00DA361C" w:rsidRPr="0006079F">
        <w:rPr>
          <w:rFonts w:ascii="Arial" w:eastAsia="Arial" w:hAnsi="Arial" w:cs="Arial"/>
          <w:lang w:val="pt-BR"/>
        </w:rPr>
        <w:t>. v. 23(3), p. 903-912. 2018</w:t>
      </w:r>
    </w:p>
    <w:p w14:paraId="62E0B21F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20" w:hanging="720"/>
        <w:jc w:val="both"/>
        <w:rPr>
          <w:rFonts w:ascii="Arial" w:eastAsia="Arial" w:hAnsi="Arial" w:cs="Arial"/>
          <w:color w:val="000000"/>
          <w:lang w:val="pt-BR"/>
        </w:rPr>
      </w:pPr>
    </w:p>
    <w:p w14:paraId="611E2F8B" w14:textId="345E38B8" w:rsidR="00CD1DD1" w:rsidRPr="0006079F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 w:rsidRPr="00295B92">
        <w:rPr>
          <w:rFonts w:ascii="Arial" w:eastAsia="Arial" w:hAnsi="Arial" w:cs="Arial"/>
          <w:lang w:val="es-ES"/>
        </w:rPr>
        <w:t>2</w:t>
      </w:r>
      <w:r>
        <w:rPr>
          <w:rFonts w:ascii="Arial" w:eastAsia="Arial" w:hAnsi="Arial" w:cs="Arial"/>
          <w:lang w:val="es-ES"/>
        </w:rPr>
        <w:t>3</w:t>
      </w:r>
      <w:r w:rsidR="00DA361C" w:rsidRPr="00295B92">
        <w:rPr>
          <w:rFonts w:ascii="Arial" w:eastAsia="Arial" w:hAnsi="Arial" w:cs="Arial"/>
          <w:lang w:val="es-ES"/>
        </w:rPr>
        <w:t xml:space="preserve">-SOUZA, J. D. et al. </w:t>
      </w:r>
      <w:r w:rsidR="00DA361C" w:rsidRPr="0006079F">
        <w:rPr>
          <w:rFonts w:ascii="Arial" w:eastAsia="Arial" w:hAnsi="Arial" w:cs="Arial"/>
          <w:lang w:val="pt-BR"/>
        </w:rPr>
        <w:t xml:space="preserve">Padrão alimentar de idosos: caracterização e associação com aspectos socioeconômicos. </w:t>
      </w:r>
      <w:r w:rsidR="00DA361C" w:rsidRPr="0006079F">
        <w:rPr>
          <w:rFonts w:ascii="Arial" w:eastAsia="Arial" w:hAnsi="Arial" w:cs="Arial"/>
          <w:b/>
          <w:lang w:val="pt-BR"/>
        </w:rPr>
        <w:t>Revista Brasileira de Geriatria e Gerontologia</w:t>
      </w:r>
      <w:r w:rsidR="00DA361C" w:rsidRPr="0006079F">
        <w:rPr>
          <w:rFonts w:ascii="Arial" w:eastAsia="Arial" w:hAnsi="Arial" w:cs="Arial"/>
          <w:lang w:val="pt-BR"/>
        </w:rPr>
        <w:t>. Rio de Janeiro v. 19(6), p. 970-977, 2016.</w:t>
      </w:r>
    </w:p>
    <w:p w14:paraId="5E12D0FE" w14:textId="77777777" w:rsidR="00CD1DD1" w:rsidRPr="0006079F" w:rsidRDefault="00CD1DD1">
      <w:pPr>
        <w:jc w:val="both"/>
        <w:rPr>
          <w:rFonts w:ascii="Arial" w:eastAsia="Arial" w:hAnsi="Arial" w:cs="Arial"/>
          <w:lang w:val="pt-BR"/>
        </w:rPr>
      </w:pPr>
    </w:p>
    <w:p w14:paraId="12E896E3" w14:textId="44FB7391" w:rsidR="00CD1DD1" w:rsidRDefault="00DA36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 w:rsidRPr="0006079F">
        <w:rPr>
          <w:rFonts w:ascii="Arial" w:eastAsia="Arial" w:hAnsi="Arial" w:cs="Arial"/>
          <w:highlight w:val="white"/>
          <w:lang w:val="pt-BR"/>
        </w:rPr>
        <w:t>2</w:t>
      </w:r>
      <w:r w:rsidR="00295B92">
        <w:rPr>
          <w:rFonts w:ascii="Arial" w:eastAsia="Arial" w:hAnsi="Arial" w:cs="Arial"/>
          <w:highlight w:val="white"/>
          <w:lang w:val="pt-BR"/>
        </w:rPr>
        <w:t>4</w:t>
      </w:r>
      <w:r w:rsidRPr="0006079F">
        <w:rPr>
          <w:rFonts w:ascii="Arial" w:eastAsia="Arial" w:hAnsi="Arial" w:cs="Arial"/>
          <w:highlight w:val="white"/>
          <w:lang w:val="pt-BR"/>
        </w:rPr>
        <w:t>-VALENTIM, E. L.; CARRAPEIRO, M. M; GURGEL, D. C. Cor</w:t>
      </w:r>
      <w:r w:rsidRPr="0006079F">
        <w:rPr>
          <w:rFonts w:ascii="Arial" w:eastAsia="Arial" w:hAnsi="Arial" w:cs="Arial"/>
          <w:highlight w:val="white"/>
          <w:lang w:val="pt-BR"/>
        </w:rPr>
        <w:t>relação entre consumo alimentar e prevalência de sarcopenia em idosos de duas cidades do Ceará. </w:t>
      </w:r>
      <w:r w:rsidRPr="0006079F">
        <w:rPr>
          <w:rFonts w:ascii="Arial" w:eastAsia="Arial" w:hAnsi="Arial" w:cs="Arial"/>
          <w:b/>
          <w:highlight w:val="white"/>
          <w:lang w:val="pt-BR"/>
        </w:rPr>
        <w:t>Revista de Nutrição e Vigilância em Saúde</w:t>
      </w:r>
      <w:r w:rsidRPr="0006079F">
        <w:rPr>
          <w:b/>
          <w:highlight w:val="white"/>
          <w:lang w:val="pt-BR"/>
        </w:rPr>
        <w:t xml:space="preserve">. </w:t>
      </w:r>
      <w:r w:rsidRPr="0006079F">
        <w:rPr>
          <w:rFonts w:ascii="Arial" w:eastAsia="Arial" w:hAnsi="Arial" w:cs="Arial"/>
          <w:highlight w:val="white"/>
          <w:lang w:val="pt-BR"/>
        </w:rPr>
        <w:t>Ceará,</w:t>
      </w:r>
      <w:r w:rsidRPr="0006079F">
        <w:rPr>
          <w:b/>
          <w:highlight w:val="white"/>
          <w:lang w:val="pt-BR"/>
        </w:rPr>
        <w:t> </w:t>
      </w:r>
      <w:r w:rsidRPr="0006079F">
        <w:rPr>
          <w:rFonts w:ascii="Arial" w:eastAsia="Arial" w:hAnsi="Arial" w:cs="Arial"/>
          <w:highlight w:val="white"/>
          <w:lang w:val="pt-BR"/>
        </w:rPr>
        <w:t>v. 3, n 2, 2016. </w:t>
      </w:r>
    </w:p>
    <w:p w14:paraId="59FAE59D" w14:textId="46CB27CE" w:rsidR="00036085" w:rsidRDefault="000360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</w:p>
    <w:p w14:paraId="484C9A5B" w14:textId="3F23075D" w:rsidR="009C5C57" w:rsidRPr="009C5C57" w:rsidRDefault="00295B92" w:rsidP="009C5C5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lang w:val="en"/>
        </w:rPr>
        <w:t>25-</w:t>
      </w:r>
      <w:r w:rsidR="009C5C57" w:rsidRPr="009C5C57">
        <w:rPr>
          <w:rFonts w:ascii="Arial" w:hAnsi="Arial" w:cs="Arial"/>
          <w:color w:val="222222"/>
          <w:lang w:val="en"/>
        </w:rPr>
        <w:t>WORLD HEALTH ORGANIZATION. Active aging: a policy framework. Madrid: WHO, 2002</w:t>
      </w:r>
    </w:p>
    <w:p w14:paraId="7AC2EF10" w14:textId="77777777" w:rsidR="009C5C57" w:rsidRPr="00295B92" w:rsidRDefault="009C5C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</w:rPr>
      </w:pPr>
    </w:p>
    <w:p w14:paraId="1A1746C8" w14:textId="6723D40E" w:rsidR="009C5C57" w:rsidRPr="009C5C57" w:rsidRDefault="00295B92" w:rsidP="009C5C5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en"/>
        </w:rPr>
        <w:t>26-</w:t>
      </w:r>
      <w:r w:rsidR="009C5C57" w:rsidRPr="009C5C57">
        <w:rPr>
          <w:rFonts w:ascii="Arial" w:hAnsi="Arial" w:cs="Arial"/>
          <w:lang w:val="en"/>
        </w:rPr>
        <w:t>WORLD HEALTH ORGANIZATION. Active development: a health policy. Brasilia: Pan American Health Organization, 2005.</w:t>
      </w:r>
    </w:p>
    <w:p w14:paraId="0DE89DA5" w14:textId="77777777" w:rsidR="009C5C57" w:rsidRDefault="009C5C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</w:p>
    <w:p w14:paraId="1A048C6E" w14:textId="6B1A0C32" w:rsidR="00036085" w:rsidRPr="00036085" w:rsidRDefault="00295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lang w:val="pt-BR"/>
        </w:rPr>
      </w:pPr>
      <w:r>
        <w:rPr>
          <w:rFonts w:ascii="Arial" w:hAnsi="Arial" w:cs="Arial"/>
        </w:rPr>
        <w:t>27-</w:t>
      </w:r>
      <w:r w:rsidR="00036085" w:rsidRPr="00036085">
        <w:rPr>
          <w:rFonts w:ascii="Arial" w:hAnsi="Arial" w:cs="Arial"/>
        </w:rPr>
        <w:t xml:space="preserve">World Health Organization. Obesity: preventing and managing the global epidemic. Geneva: World Health Organization; 1998. </w:t>
      </w:r>
    </w:p>
    <w:p w14:paraId="7FF14A8B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color w:val="000000"/>
          <w:lang w:val="pt-BR"/>
        </w:rPr>
      </w:pPr>
    </w:p>
    <w:p w14:paraId="66C5ACA8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ind w:left="720" w:hanging="720"/>
        <w:jc w:val="both"/>
        <w:rPr>
          <w:rFonts w:ascii="Arial" w:eastAsia="Arial" w:hAnsi="Arial" w:cs="Arial"/>
          <w:color w:val="000000"/>
          <w:lang w:val="pt-BR"/>
        </w:rPr>
      </w:pPr>
    </w:p>
    <w:p w14:paraId="487D941B" w14:textId="77777777" w:rsidR="00CD1DD1" w:rsidRPr="0006079F" w:rsidRDefault="00CD1DD1">
      <w:pPr>
        <w:rPr>
          <w:lang w:val="pt-BR"/>
        </w:rPr>
      </w:pPr>
    </w:p>
    <w:p w14:paraId="14A798F1" w14:textId="77777777" w:rsidR="00CD1DD1" w:rsidRPr="0006079F" w:rsidRDefault="00CD1D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ind w:left="720" w:hanging="720"/>
        <w:jc w:val="both"/>
        <w:rPr>
          <w:rFonts w:ascii="Arial" w:eastAsia="Arial" w:hAnsi="Arial" w:cs="Arial"/>
          <w:color w:val="000000"/>
          <w:lang w:val="pt-BR"/>
        </w:rPr>
      </w:pPr>
    </w:p>
    <w:p w14:paraId="7CA313D0" w14:textId="77777777" w:rsidR="00CD1DD1" w:rsidRPr="0006079F" w:rsidRDefault="00CD1DD1">
      <w:pPr>
        <w:rPr>
          <w:lang w:val="pt-BR"/>
        </w:rPr>
      </w:pPr>
    </w:p>
    <w:sectPr w:rsidR="00CD1DD1" w:rsidRPr="0006079F">
      <w:type w:val="continuous"/>
      <w:pgSz w:w="11900" w:h="16840"/>
      <w:pgMar w:top="1418" w:right="1418" w:bottom="1418" w:left="1418" w:header="709" w:footer="709" w:gutter="0"/>
      <w:cols w:num="2" w:space="720" w:equalWidth="0">
        <w:col w:w="4172" w:space="720"/>
        <w:col w:w="417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E0629"/>
    <w:multiLevelType w:val="hybridMultilevel"/>
    <w:tmpl w:val="980692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DD1"/>
    <w:rsid w:val="00036085"/>
    <w:rsid w:val="0006079F"/>
    <w:rsid w:val="00295B92"/>
    <w:rsid w:val="009C5C57"/>
    <w:rsid w:val="00CD1DD1"/>
    <w:rsid w:val="00DA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5EC6"/>
  <w15:docId w15:val="{33881DC9-3E36-4A5C-8C48-6F2725F0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3C5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873F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873F04"/>
    <w:rPr>
      <w:rFonts w:eastAsia="Times New Roman"/>
      <w:b/>
      <w:bCs/>
      <w:sz w:val="36"/>
      <w:szCs w:val="36"/>
      <w:bdr w:val="none" w:sz="0" w:space="0" w:color="auto"/>
    </w:rPr>
  </w:style>
  <w:style w:type="paragraph" w:styleId="PargrafodaLista">
    <w:name w:val="List Paragraph"/>
    <w:uiPriority w:val="34"/>
    <w:qFormat/>
    <w:rsid w:val="00873F04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table" w:customStyle="1" w:styleId="TableNormal1">
    <w:name w:val="Table Normal"/>
    <w:rsid w:val="00BD3C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BD3C58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Corpo">
    <w:name w:val="Corpo"/>
    <w:rsid w:val="00BD3C5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xspellingerror">
    <w:name w:val="x_spellingerror"/>
    <w:rsid w:val="00BD3C58"/>
  </w:style>
  <w:style w:type="paragraph" w:customStyle="1" w:styleId="xparagraph">
    <w:name w:val="x_paragraph"/>
    <w:rsid w:val="00BD3C58"/>
    <w:pPr>
      <w:spacing w:before="100" w:after="100"/>
    </w:pPr>
    <w:rPr>
      <w:rFonts w:cs="Arial Unicode MS"/>
      <w:color w:val="000000"/>
      <w:u w:color="000000"/>
      <w:lang w:val="pt-PT"/>
    </w:rPr>
  </w:style>
  <w:style w:type="character" w:customStyle="1" w:styleId="xnormaltextrun">
    <w:name w:val="x_normaltextrun"/>
    <w:basedOn w:val="Fontepargpadro"/>
    <w:rsid w:val="00BD3C58"/>
  </w:style>
  <w:style w:type="character" w:customStyle="1" w:styleId="xeop">
    <w:name w:val="x_eop"/>
    <w:basedOn w:val="Fontepargpadro"/>
    <w:rsid w:val="00BD3C58"/>
  </w:style>
  <w:style w:type="paragraph" w:styleId="Pr-formataoHTML">
    <w:name w:val="HTML Preformatted"/>
    <w:basedOn w:val="Normal"/>
    <w:link w:val="Pr-formataoHTMLChar"/>
    <w:uiPriority w:val="99"/>
    <w:unhideWhenUsed/>
    <w:rsid w:val="00BD3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D3C58"/>
    <w:rPr>
      <w:rFonts w:ascii="Courier New" w:eastAsia="Times New Roman" w:hAnsi="Courier New" w:cs="Courier New"/>
      <w:bdr w:val="none" w:sz="0" w:space="0" w:color="auto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3C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C58"/>
    <w:rPr>
      <w:rFonts w:ascii="Times New Roman" w:hAnsi="Times New Roman"/>
      <w:sz w:val="24"/>
      <w:szCs w:val="24"/>
      <w:lang w:val="en-US"/>
    </w:rPr>
  </w:style>
  <w:style w:type="paragraph" w:customStyle="1" w:styleId="CorpoA">
    <w:name w:val="Corpo A"/>
    <w:rsid w:val="00BD3C5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NormalWeb">
    <w:name w:val="Normal (Web)"/>
    <w:basedOn w:val="Normal"/>
    <w:uiPriority w:val="99"/>
    <w:unhideWhenUsed/>
    <w:rsid w:val="00BD3C58"/>
    <w:pPr>
      <w:spacing w:before="100" w:beforeAutospacing="1" w:after="100" w:afterAutospacing="1"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714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4FDE"/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373D4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3D4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607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seraicavalcanti@hotmail.com" TargetMode="External"/><Relationship Id="rId5" Type="http://schemas.openxmlformats.org/officeDocument/2006/relationships/hyperlink" Target="mailto:gisellycosta_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4101</Words>
  <Characters>22149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samai</dc:creator>
  <cp:lastModifiedBy> </cp:lastModifiedBy>
  <cp:revision>2</cp:revision>
  <dcterms:created xsi:type="dcterms:W3CDTF">2018-11-22T23:20:00Z</dcterms:created>
  <dcterms:modified xsi:type="dcterms:W3CDTF">2019-09-10T17:52:00Z</dcterms:modified>
</cp:coreProperties>
</file>